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E0593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72A01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B20466">
        <w:rPr>
          <w:sz w:val="24"/>
          <w:szCs w:val="24"/>
        </w:rPr>
        <w:t>30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672A01">
        <w:rPr>
          <w:sz w:val="24"/>
          <w:szCs w:val="24"/>
        </w:rPr>
        <w:t>354</w:t>
      </w:r>
    </w:p>
    <w:p w:rsidR="00672A01" w:rsidRDefault="00672A01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D72CDC" w:rsidRDefault="005B5D76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с. </w:t>
      </w:r>
      <w:r w:rsidR="009C0BF4">
        <w:rPr>
          <w:b/>
          <w:i/>
          <w:sz w:val="24"/>
          <w:szCs w:val="24"/>
        </w:rPr>
        <w:t xml:space="preserve">Роща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5B5D76">
        <w:rPr>
          <w:sz w:val="24"/>
          <w:szCs w:val="24"/>
        </w:rPr>
        <w:t xml:space="preserve">с. </w:t>
      </w:r>
      <w:r w:rsidR="00D72CDC">
        <w:rPr>
          <w:sz w:val="24"/>
          <w:szCs w:val="24"/>
        </w:rPr>
        <w:t>Роща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20466" w:rsidRPr="00A51AE9" w:rsidRDefault="00B20466" w:rsidP="00B20466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20466" w:rsidRDefault="00B20466" w:rsidP="00B20466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20466" w:rsidRDefault="00B20466" w:rsidP="00B20466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B20466" w:rsidRDefault="00B20466" w:rsidP="00B20466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20466" w:rsidRPr="00D36356" w:rsidRDefault="00B20466" w:rsidP="00B20466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7F5024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20466" w:rsidRPr="007F5024" w:rsidRDefault="00B20466" w:rsidP="00B20466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B20466" w:rsidRDefault="00B20466" w:rsidP="00B20466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</w:t>
      </w:r>
    </w:p>
    <w:p w:rsidR="00B20466" w:rsidRDefault="00B20466" w:rsidP="00B20466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B20466" w:rsidRPr="006C5308" w:rsidRDefault="00B20466" w:rsidP="00B20466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B20466" w:rsidRPr="000E3ACA" w:rsidRDefault="00B20466" w:rsidP="00B20466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6C5308" w:rsidRDefault="006C5308" w:rsidP="001B55E1">
      <w:pPr>
        <w:pStyle w:val="a6"/>
        <w:rPr>
          <w:rFonts w:ascii="Times New Roman" w:hAnsi="Times New Roman"/>
          <w:b/>
          <w:sz w:val="24"/>
          <w:szCs w:val="24"/>
        </w:rPr>
      </w:pP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233D43">
        <w:rPr>
          <w:b/>
          <w:sz w:val="24"/>
          <w:szCs w:val="24"/>
        </w:rPr>
        <w:t xml:space="preserve">  </w:t>
      </w:r>
      <w:r w:rsidR="008C7C34"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 w:rsidR="008C7C34">
        <w:rPr>
          <w:b/>
          <w:bCs/>
          <w:sz w:val="24"/>
          <w:szCs w:val="24"/>
        </w:rPr>
        <w:t>2</w:t>
      </w:r>
      <w:r w:rsidR="008C7C34" w:rsidRPr="00A51AE9">
        <w:rPr>
          <w:b/>
          <w:bCs/>
          <w:sz w:val="24"/>
          <w:szCs w:val="24"/>
        </w:rPr>
        <w:t xml:space="preserve"> следует  принимать согласно</w:t>
      </w:r>
      <w:r w:rsidR="008C7C34" w:rsidRPr="00A51AE9">
        <w:rPr>
          <w:b/>
          <w:color w:val="000000"/>
          <w:sz w:val="24"/>
          <w:szCs w:val="24"/>
        </w:rPr>
        <w:t xml:space="preserve"> </w:t>
      </w:r>
      <w:r w:rsidR="008C7C34">
        <w:rPr>
          <w:b/>
          <w:color w:val="000000"/>
          <w:sz w:val="24"/>
          <w:szCs w:val="24"/>
        </w:rPr>
        <w:t xml:space="preserve">местным </w:t>
      </w:r>
      <w:r w:rsidR="008C7C34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8C7C34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8C7C34" w:rsidRPr="00A51AE9">
        <w:rPr>
          <w:b/>
          <w:color w:val="000000"/>
          <w:sz w:val="24"/>
          <w:szCs w:val="24"/>
        </w:rPr>
        <w:t>Свердловской области</w:t>
      </w:r>
      <w:r w:rsidR="008C7C34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1B55E1" w:rsidRPr="00233D43" w:rsidRDefault="001B55E1" w:rsidP="000E3AC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1B55E1" w:rsidRPr="00962381" w:rsidTr="008C7C34">
        <w:trPr>
          <w:trHeight w:val="311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1B55E1" w:rsidRDefault="001B55E1" w:rsidP="001B55E1">
      <w:pPr>
        <w:tabs>
          <w:tab w:val="left" w:pos="720"/>
        </w:tabs>
        <w:ind w:right="4"/>
        <w:jc w:val="both"/>
        <w:rPr>
          <w:spacing w:val="2"/>
        </w:rPr>
      </w:pPr>
    </w:p>
    <w:p w:rsidR="001B55E1" w:rsidRPr="00624F67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785"/>
        <w:gridCol w:w="1816"/>
        <w:gridCol w:w="3385"/>
      </w:tblGrid>
      <w:tr w:rsidR="001B55E1" w:rsidRPr="00962381" w:rsidTr="008C7C34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1B55E1" w:rsidRPr="00962381" w:rsidTr="008C7C34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="000E3ACA"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 w:rsidR="000E3ACA"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1B55E1" w:rsidRPr="00962381" w:rsidTr="000E3ACA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1B55E1" w:rsidRPr="00962381" w:rsidTr="000E3ACA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 w:rsidR="000E3ACA"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1B55E1" w:rsidRPr="000E3ACA" w:rsidRDefault="001B55E1" w:rsidP="001B55E1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1B55E1" w:rsidRPr="00624F67" w:rsidRDefault="001B55E1" w:rsidP="001B55E1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1B55E1" w:rsidRPr="00962381" w:rsidTr="008C7C34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1B55E1" w:rsidRPr="00962381" w:rsidTr="008C7C34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1B55E1" w:rsidRPr="00624F67" w:rsidTr="008C7C34">
        <w:trPr>
          <w:trHeight w:val="860"/>
        </w:trPr>
        <w:tc>
          <w:tcPr>
            <w:tcW w:w="1694" w:type="dxa"/>
            <w:vMerge w:val="restart"/>
          </w:tcPr>
          <w:p w:rsidR="001B55E1" w:rsidRPr="000E3ACA" w:rsidRDefault="001B55E1" w:rsidP="008C7C34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1B55E1" w:rsidRPr="00624F67" w:rsidTr="000E3ACA">
        <w:trPr>
          <w:trHeight w:val="1056"/>
        </w:trPr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1B55E1" w:rsidRPr="000E3ACA" w:rsidRDefault="001B55E1" w:rsidP="008C7C34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1B55E1" w:rsidRPr="000E3ACA" w:rsidRDefault="001B55E1" w:rsidP="008C7C34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1B55E1" w:rsidRPr="000E3ACA" w:rsidRDefault="001B55E1" w:rsidP="008C7C34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1B55E1" w:rsidRPr="00624F67" w:rsidTr="008C7C34"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1B55E1" w:rsidRPr="00624F67" w:rsidTr="008C7C34">
        <w:trPr>
          <w:trHeight w:val="567"/>
        </w:trPr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B55E1" w:rsidRPr="00624F67" w:rsidTr="008C7C34">
        <w:trPr>
          <w:trHeight w:val="445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5E1" w:rsidRPr="00624F67" w:rsidTr="008C7C34">
        <w:trPr>
          <w:trHeight w:val="458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1B55E1" w:rsidRDefault="001B55E1" w:rsidP="001B55E1">
      <w:pPr>
        <w:ind w:right="4" w:firstLine="360"/>
        <w:jc w:val="both"/>
      </w:pPr>
    </w:p>
    <w:p w:rsidR="001B55E1" w:rsidRPr="000E3ACA" w:rsidRDefault="001B55E1" w:rsidP="000E3ACA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1B55E1" w:rsidRPr="000E3ACA" w:rsidRDefault="001B55E1" w:rsidP="000E3ACA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1B55E1" w:rsidRPr="000E3ACA" w:rsidRDefault="001B55E1" w:rsidP="000E3ACA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1B55E1" w:rsidRPr="00962381" w:rsidTr="000E3ACA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1B55E1" w:rsidRPr="00962381" w:rsidTr="000E3ACA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</w:tr>
      <w:tr w:rsidR="001B55E1" w:rsidRPr="00962381" w:rsidTr="000E3ACA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1B55E1" w:rsidRPr="00962381" w:rsidTr="000E3ACA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24F67" w:rsidRDefault="001B55E1" w:rsidP="008C7C34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1B55E1" w:rsidRPr="00962381" w:rsidRDefault="001B55E1" w:rsidP="008C7C34">
            <w:pPr>
              <w:rPr>
                <w:color w:val="000000"/>
              </w:rPr>
            </w:pPr>
          </w:p>
          <w:p w:rsidR="001B55E1" w:rsidRPr="00962381" w:rsidRDefault="001B55E1" w:rsidP="008C7C34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1B55E1" w:rsidRPr="00962381" w:rsidRDefault="001B55E1" w:rsidP="008C7C34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0E3ACA" w:rsidRDefault="001B55E1" w:rsidP="008C7C34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1B55E1" w:rsidRPr="00962381" w:rsidRDefault="001B55E1" w:rsidP="001B55E1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1B55E1" w:rsidRPr="000E3ACA" w:rsidRDefault="001B55E1" w:rsidP="001B55E1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1B55E1" w:rsidRPr="000E3ACA" w:rsidRDefault="001B55E1" w:rsidP="001B55E1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1B55E1" w:rsidRPr="000E3ACA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1B55E1" w:rsidRPr="00962381" w:rsidRDefault="001B55E1" w:rsidP="001B55E1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1B55E1" w:rsidRPr="00962381" w:rsidTr="008C7C34">
        <w:trPr>
          <w:trHeight w:val="290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1B55E1" w:rsidRPr="00962381" w:rsidRDefault="001B55E1" w:rsidP="008C7C34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1B55E1" w:rsidRPr="00962381" w:rsidRDefault="001B55E1" w:rsidP="000E3ACA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0E3ACA" w:rsidP="008C7C34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="001B55E1"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1B55E1" w:rsidRPr="00962381" w:rsidTr="008C7C34">
        <w:trPr>
          <w:trHeight w:val="276"/>
        </w:trPr>
        <w:tc>
          <w:tcPr>
            <w:tcW w:w="1487" w:type="dxa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477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1B55E1" w:rsidRPr="000E3ACA" w:rsidRDefault="001B55E1" w:rsidP="001B55E1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651471" w:rsidRDefault="00651471" w:rsidP="00651471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B20466" w:rsidRPr="00651471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B20466" w:rsidRPr="00651471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1B55E1" w:rsidRPr="00191BC8" w:rsidRDefault="001B55E1" w:rsidP="00191BC8">
      <w:pPr>
        <w:pStyle w:val="5"/>
        <w:spacing w:before="0"/>
        <w:ind w:right="74" w:firstLine="567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B20466" w:rsidRPr="00191BC8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B20466" w:rsidRPr="00191BC8" w:rsidRDefault="00B20466" w:rsidP="00B2046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B20466" w:rsidRPr="00191BC8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B20466" w:rsidRDefault="00B20466" w:rsidP="00B20466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20466" w:rsidRDefault="00B20466" w:rsidP="00B20466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B20466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B20466" w:rsidRDefault="00B20466" w:rsidP="00B20466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D14" w:rsidRDefault="00764D14" w:rsidP="00764D1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B20466" w:rsidRPr="000B609C" w:rsidRDefault="00B20466" w:rsidP="00B20466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B20466" w:rsidRDefault="00B20466" w:rsidP="00B20466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B20466" w:rsidRDefault="00B20466" w:rsidP="00B20466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466" w:rsidRPr="000B609C" w:rsidRDefault="00B20466" w:rsidP="00B2046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B20466" w:rsidRPr="000B609C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B20466" w:rsidRDefault="00B20466" w:rsidP="00B20466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B20466" w:rsidRDefault="00B20466" w:rsidP="00B20466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B20466" w:rsidRPr="000B609C" w:rsidRDefault="00B20466" w:rsidP="00B20466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B20466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5B5D76" w:rsidRDefault="005B5D76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6D2C99" w:rsidRPr="00E44294" w:rsidRDefault="006D2C99" w:rsidP="006D2C99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6D2C99" w:rsidRPr="00E44294" w:rsidRDefault="006D2C99" w:rsidP="006D2C99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6D2C99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6D2C99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D2C99" w:rsidRPr="007949A9" w:rsidRDefault="006D2C99" w:rsidP="006D2C99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6D2C99" w:rsidRPr="007949A9" w:rsidRDefault="006D2C99" w:rsidP="006D2C99">
      <w:pPr>
        <w:rPr>
          <w:sz w:val="24"/>
          <w:szCs w:val="24"/>
        </w:rPr>
      </w:pPr>
    </w:p>
    <w:p w:rsidR="006D2C99" w:rsidRPr="007949A9" w:rsidRDefault="006D2C99" w:rsidP="006D2C9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6D2C99" w:rsidRPr="007949A9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Pr="0008556A" w:rsidRDefault="006D2C99" w:rsidP="006D2C99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6D2C99" w:rsidRPr="009A3BC5" w:rsidRDefault="006D2C99" w:rsidP="006D2C99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6D2C99" w:rsidRPr="004E1FCE" w:rsidRDefault="006D2C99" w:rsidP="006D2C9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6D2C99" w:rsidRPr="00B71C95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6D2C99" w:rsidRDefault="006D2C99" w:rsidP="008C7C34">
      <w:pPr>
        <w:jc w:val="both"/>
        <w:rPr>
          <w:b/>
          <w:bCs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8C7C34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8C7C34">
            <w:pPr>
              <w:jc w:val="both"/>
              <w:rPr>
                <w:color w:val="000000"/>
              </w:rPr>
            </w:pPr>
          </w:p>
        </w:tc>
      </w:tr>
      <w:tr w:rsidR="001B55E1" w:rsidRPr="00962381" w:rsidTr="008C7C34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8C7C34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8C7C34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8C7C34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8C7C34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6D2C99" w:rsidRPr="00B71C95" w:rsidRDefault="006D2C99" w:rsidP="006D2C9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6D2C99" w:rsidRPr="00B71C95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Pr="009A3BC5" w:rsidRDefault="006D2C99" w:rsidP="006D2C9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6D2C99" w:rsidRDefault="006D2C99" w:rsidP="001B55E1">
      <w:pPr>
        <w:ind w:firstLine="709"/>
        <w:jc w:val="both"/>
        <w:rPr>
          <w:color w:val="000000"/>
          <w:sz w:val="24"/>
          <w:szCs w:val="24"/>
        </w:rPr>
      </w:pPr>
    </w:p>
    <w:p w:rsidR="006D2C99" w:rsidRPr="00B71C95" w:rsidRDefault="006D2C99" w:rsidP="006D2C9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Р-4. Зона баз отдыха, туристических баз, профилакториев.</w:t>
      </w:r>
    </w:p>
    <w:p w:rsidR="006D2C99" w:rsidRPr="00B71C95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спорт;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туристическое обслуживание;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охота и рыбалка.</w:t>
      </w:r>
    </w:p>
    <w:p w:rsidR="006D2C99" w:rsidRPr="00B71C95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D2C99" w:rsidRDefault="006D2C99" w:rsidP="006D2C99">
      <w:pPr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 xml:space="preserve"> ветеринарное обслуживание;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обслуживание;</w:t>
      </w:r>
    </w:p>
    <w:p w:rsidR="006D2C99" w:rsidRPr="009A3BC5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426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6D2C99" w:rsidRPr="00B71C95" w:rsidRDefault="006D2C99" w:rsidP="006D2C99">
      <w:pPr>
        <w:widowControl w:val="0"/>
        <w:ind w:right="74"/>
        <w:jc w:val="both"/>
        <w:rPr>
          <w:b/>
          <w:sz w:val="24"/>
          <w:szCs w:val="24"/>
        </w:rPr>
      </w:pPr>
      <w:r w:rsidRPr="00B71C95">
        <w:rPr>
          <w:b/>
          <w:sz w:val="24"/>
          <w:szCs w:val="24"/>
        </w:rPr>
        <w:t>Условно разрешенные виды использования.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6D2C99" w:rsidRPr="00D14C5D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Pr="00D14C5D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6D2C99" w:rsidRPr="00D14C5D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6D2C99" w:rsidRPr="00335566" w:rsidRDefault="006D2C99" w:rsidP="006D2C99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6D2C99" w:rsidRDefault="006D2C99" w:rsidP="006D2C99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6D2C99" w:rsidRDefault="006D2C99" w:rsidP="006D2C99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6D2C99" w:rsidRPr="00114B2F" w:rsidRDefault="006D2C99" w:rsidP="006D2C99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6D2C99" w:rsidRPr="00335566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6D2C99" w:rsidRDefault="006D2C99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6D2C99" w:rsidRPr="00335566" w:rsidRDefault="006D2C99" w:rsidP="006D2C9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6D2C99" w:rsidRPr="00335566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Pr="00335566" w:rsidRDefault="006D2C99" w:rsidP="00FA29C9">
      <w:pPr>
        <w:pStyle w:val="Iauiue"/>
        <w:numPr>
          <w:ilvl w:val="0"/>
          <w:numId w:val="13"/>
        </w:numPr>
        <w:tabs>
          <w:tab w:val="clear" w:pos="1080"/>
        </w:tabs>
        <w:overflowPunct w:val="0"/>
        <w:autoSpaceDE w:val="0"/>
        <w:autoSpaceDN w:val="0"/>
        <w:adjustRightInd w:val="0"/>
        <w:ind w:left="142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6D2C99" w:rsidRPr="00335566" w:rsidRDefault="006D2C99" w:rsidP="00FA29C9">
      <w:pPr>
        <w:pStyle w:val="Iauiue"/>
        <w:numPr>
          <w:ilvl w:val="0"/>
          <w:numId w:val="13"/>
        </w:numPr>
        <w:tabs>
          <w:tab w:val="clear" w:pos="1080"/>
        </w:tabs>
        <w:overflowPunct w:val="0"/>
        <w:autoSpaceDE w:val="0"/>
        <w:autoSpaceDN w:val="0"/>
        <w:adjustRightInd w:val="0"/>
        <w:ind w:left="142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6D2C99" w:rsidRPr="00114B2F" w:rsidRDefault="006D2C99" w:rsidP="00FA29C9">
      <w:pPr>
        <w:pStyle w:val="Iauiue"/>
        <w:numPr>
          <w:ilvl w:val="0"/>
          <w:numId w:val="13"/>
        </w:numPr>
        <w:tabs>
          <w:tab w:val="clear" w:pos="1080"/>
        </w:tabs>
        <w:overflowPunct w:val="0"/>
        <w:autoSpaceDE w:val="0"/>
        <w:autoSpaceDN w:val="0"/>
        <w:adjustRightInd w:val="0"/>
        <w:ind w:left="142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6D2C99" w:rsidRPr="00335566" w:rsidRDefault="006D2C99" w:rsidP="006D2C99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D2C99" w:rsidRPr="00D14C5D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B55E1" w:rsidRPr="00344516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</w:t>
      </w:r>
      <w:r w:rsidR="00672A01">
        <w:rPr>
          <w:sz w:val="24"/>
          <w:szCs w:val="24"/>
        </w:rPr>
        <w:t xml:space="preserve">                  </w:t>
      </w:r>
      <w:r w:rsidRPr="00720C70">
        <w:rPr>
          <w:sz w:val="24"/>
          <w:szCs w:val="24"/>
        </w:rPr>
        <w:t xml:space="preserve">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672A01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554" w:rsidRDefault="00D77554">
      <w:r>
        <w:separator/>
      </w:r>
    </w:p>
  </w:endnote>
  <w:endnote w:type="continuationSeparator" w:id="1">
    <w:p w:rsidR="00D77554" w:rsidRDefault="00D7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66" w:rsidRDefault="009153B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20466" w:rsidRDefault="00B2046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554" w:rsidRDefault="00D77554">
      <w:r>
        <w:separator/>
      </w:r>
    </w:p>
  </w:footnote>
  <w:footnote w:type="continuationSeparator" w:id="1">
    <w:p w:rsidR="00D77554" w:rsidRDefault="00D77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88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11D5B"/>
    <w:rsid w:val="003140D5"/>
    <w:rsid w:val="003200ED"/>
    <w:rsid w:val="00324340"/>
    <w:rsid w:val="00335566"/>
    <w:rsid w:val="0034221E"/>
    <w:rsid w:val="0034482E"/>
    <w:rsid w:val="00344B0C"/>
    <w:rsid w:val="00351DF3"/>
    <w:rsid w:val="00357F4B"/>
    <w:rsid w:val="00383C7F"/>
    <w:rsid w:val="003A2FE2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C0268"/>
    <w:rsid w:val="004C1C34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2A01"/>
    <w:rsid w:val="00673553"/>
    <w:rsid w:val="006740C6"/>
    <w:rsid w:val="00694A10"/>
    <w:rsid w:val="006964EC"/>
    <w:rsid w:val="006C5308"/>
    <w:rsid w:val="006D252A"/>
    <w:rsid w:val="006D2C99"/>
    <w:rsid w:val="006E60D3"/>
    <w:rsid w:val="00720C70"/>
    <w:rsid w:val="00721C38"/>
    <w:rsid w:val="007317B2"/>
    <w:rsid w:val="00736A7F"/>
    <w:rsid w:val="00740D30"/>
    <w:rsid w:val="00745854"/>
    <w:rsid w:val="00762E66"/>
    <w:rsid w:val="00764D14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53B7"/>
    <w:rsid w:val="00917DE4"/>
    <w:rsid w:val="00930734"/>
    <w:rsid w:val="00933B16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3F37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0466"/>
    <w:rsid w:val="00B21711"/>
    <w:rsid w:val="00B22EA2"/>
    <w:rsid w:val="00B36D95"/>
    <w:rsid w:val="00B41D70"/>
    <w:rsid w:val="00B46E47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77554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5930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A29C9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3994</Words>
  <Characters>22766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9</cp:revision>
  <cp:lastPrinted>2015-12-01T07:02:00Z</cp:lastPrinted>
  <dcterms:created xsi:type="dcterms:W3CDTF">2015-11-02T07:29:00Z</dcterms:created>
  <dcterms:modified xsi:type="dcterms:W3CDTF">2015-12-01T07:03:00Z</dcterms:modified>
</cp:coreProperties>
</file>