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2B7250">
        <w:rPr>
          <w:rFonts w:ascii="Times New Roman" w:hAnsi="Times New Roman" w:cs="Times New Roman"/>
          <w:b w:val="0"/>
          <w:sz w:val="26"/>
          <w:szCs w:val="26"/>
        </w:rPr>
        <w:t>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2B7250">
        <w:rPr>
          <w:rFonts w:ascii="Times New Roman" w:hAnsi="Times New Roman" w:cs="Times New Roman"/>
          <w:b w:val="0"/>
          <w:sz w:val="26"/>
          <w:szCs w:val="26"/>
        </w:rPr>
        <w:t>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2B7250">
        <w:rPr>
          <w:rFonts w:ascii="Times New Roman" w:hAnsi="Times New Roman" w:cs="Times New Roman"/>
          <w:b w:val="0"/>
          <w:sz w:val="26"/>
          <w:szCs w:val="26"/>
        </w:rPr>
        <w:t xml:space="preserve">252    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1205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«Предоставление разрешения на строительство на территории Шалинского городского округа»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1205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«Предоставление разрешения на строительство на территории Шалинского городского округа»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«Предоставление разрешения на строительство на территории Шалинского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 xml:space="preserve"> дополнить подпунктом</w:t>
      </w:r>
      <w:r w:rsidRPr="00640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2.12.5 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2.5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</w:t>
      </w: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Богатырев</w:t>
      </w:r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1205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29564C" w:rsidRPr="0029564C">
        <w:rPr>
          <w:rFonts w:ascii="Times New Roman" w:hAnsi="Times New Roman" w:cs="Times New Roman"/>
          <w:b w:val="0"/>
          <w:i/>
          <w:sz w:val="26"/>
          <w:szCs w:val="26"/>
        </w:rPr>
        <w:t>Предоставление разрешения на строительство на территории Шалинского городского округа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2B7250"/>
    <w:rsid w:val="00327C06"/>
    <w:rsid w:val="003341E7"/>
    <w:rsid w:val="00397F8F"/>
    <w:rsid w:val="00400AF9"/>
    <w:rsid w:val="00457E04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C5F01"/>
    <w:rsid w:val="00A036B0"/>
    <w:rsid w:val="00A30A7C"/>
    <w:rsid w:val="00AB1C5F"/>
    <w:rsid w:val="00B66115"/>
    <w:rsid w:val="00BE6F3D"/>
    <w:rsid w:val="00C62ED9"/>
    <w:rsid w:val="00CC2471"/>
    <w:rsid w:val="00CF0690"/>
    <w:rsid w:val="00D4611A"/>
    <w:rsid w:val="00D63BFE"/>
    <w:rsid w:val="00E749F1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18</cp:revision>
  <cp:lastPrinted>2016-03-10T03:26:00Z</cp:lastPrinted>
  <dcterms:created xsi:type="dcterms:W3CDTF">2016-03-09T05:07:00Z</dcterms:created>
  <dcterms:modified xsi:type="dcterms:W3CDTF">2016-03-24T04:08:00Z</dcterms:modified>
</cp:coreProperties>
</file>