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12385C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902EC9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2C7D8B">
        <w:rPr>
          <w:sz w:val="24"/>
          <w:szCs w:val="24"/>
        </w:rPr>
        <w:t>349</w:t>
      </w:r>
      <w:r w:rsidR="00B66035" w:rsidRPr="00720C70">
        <w:rPr>
          <w:sz w:val="24"/>
          <w:szCs w:val="24"/>
        </w:rPr>
        <w:t xml:space="preserve"> </w:t>
      </w:r>
      <w:r w:rsidR="00351DF3"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E60B63" w:rsidRDefault="00E60B63" w:rsidP="00E60B6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E60B63" w:rsidRPr="00EC4B51" w:rsidRDefault="00E60B63" w:rsidP="00E60B6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п. Сабик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1F482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1F4825">
        <w:rPr>
          <w:b/>
          <w:sz w:val="24"/>
          <w:szCs w:val="24"/>
        </w:rPr>
        <w:t>РЕШИЛА:</w:t>
      </w:r>
    </w:p>
    <w:p w:rsidR="00E60B63" w:rsidRDefault="00720C70" w:rsidP="00E60B6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E60B63" w:rsidRPr="00EC4B51">
        <w:rPr>
          <w:sz w:val="24"/>
          <w:szCs w:val="24"/>
        </w:rPr>
        <w:t xml:space="preserve">Правила землепользования и застройки населенного пункта п. </w:t>
      </w:r>
      <w:r w:rsidR="00E60B63">
        <w:rPr>
          <w:sz w:val="24"/>
          <w:szCs w:val="24"/>
        </w:rPr>
        <w:t xml:space="preserve">Сабик </w:t>
      </w:r>
      <w:r w:rsidR="00E60B6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E60B63">
        <w:rPr>
          <w:sz w:val="24"/>
          <w:szCs w:val="24"/>
        </w:rPr>
        <w:t>7</w:t>
      </w:r>
      <w:r w:rsidR="00E60B6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E60B6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E60B63">
        <w:rPr>
          <w:sz w:val="24"/>
          <w:szCs w:val="24"/>
        </w:rPr>
        <w:t>, следующие изменения:</w:t>
      </w:r>
    </w:p>
    <w:p w:rsidR="00E84CFE" w:rsidRPr="001B55E1" w:rsidRDefault="009B6CA1" w:rsidP="00E60B6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E60B6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1F4825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F4825" w:rsidRPr="00A51AE9" w:rsidRDefault="001F4825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12385C" w:rsidRPr="00A51AE9" w:rsidRDefault="0012385C" w:rsidP="0012385C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12385C" w:rsidRDefault="0012385C" w:rsidP="0012385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B3F53" w:rsidRDefault="002B3F53" w:rsidP="002B3F53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12385C" w:rsidRDefault="0012385C" w:rsidP="0012385C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12385C" w:rsidRPr="00D36356" w:rsidRDefault="0012385C" w:rsidP="0012385C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</w:t>
      </w:r>
      <w:r w:rsidR="001F4825"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="001F4825" w:rsidRPr="00A51AE9">
        <w:rPr>
          <w:b/>
          <w:color w:val="000000"/>
          <w:sz w:val="24"/>
          <w:szCs w:val="24"/>
        </w:rPr>
        <w:t xml:space="preserve"> </w:t>
      </w:r>
      <w:r w:rsidR="001F4825">
        <w:rPr>
          <w:b/>
          <w:color w:val="000000"/>
          <w:sz w:val="24"/>
          <w:szCs w:val="24"/>
        </w:rPr>
        <w:t xml:space="preserve">местным </w:t>
      </w:r>
      <w:r w:rsidR="001F4825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1F4825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1F4825" w:rsidRPr="00A51AE9">
        <w:rPr>
          <w:b/>
          <w:color w:val="000000"/>
          <w:sz w:val="24"/>
          <w:szCs w:val="24"/>
        </w:rPr>
        <w:t>Свердловской области</w:t>
      </w:r>
      <w:r w:rsidR="001F4825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1F4825">
      <w:pPr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585D8A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585D8A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585D8A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585D8A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585D8A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585D8A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1F4825">
        <w:rPr>
          <w:b/>
          <w:bCs/>
          <w:sz w:val="24"/>
          <w:szCs w:val="24"/>
        </w:rPr>
        <w:t xml:space="preserve"> (в редакции от 30.01.2014 года № 197)</w:t>
      </w:r>
      <w:r w:rsidR="001F4825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1F4825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12385C" w:rsidRPr="00651471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12385C" w:rsidRPr="00651471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1B55E1" w:rsidRPr="00191BC8" w:rsidRDefault="001B55E1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1B55E1" w:rsidRPr="00191BC8" w:rsidRDefault="001B55E1" w:rsidP="00191BC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1B55E1" w:rsidRPr="00191BC8" w:rsidRDefault="001B55E1" w:rsidP="00191BC8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1B55E1" w:rsidRPr="00191BC8" w:rsidRDefault="001B55E1" w:rsidP="00191BC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91BC8" w:rsidRDefault="00191BC8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191BC8" w:rsidRDefault="00191BC8" w:rsidP="00191BC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12385C" w:rsidRDefault="0012385C" w:rsidP="0012385C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12385C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D3610" w:rsidRDefault="00AD3610" w:rsidP="00AD3610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12385C" w:rsidRPr="000B609C" w:rsidRDefault="0012385C" w:rsidP="0012385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12385C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85C" w:rsidRPr="000B609C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12385C" w:rsidRPr="000B609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12385C" w:rsidRDefault="0012385C" w:rsidP="0012385C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12385C" w:rsidRPr="000B609C" w:rsidRDefault="0012385C" w:rsidP="0012385C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12385C" w:rsidRPr="00E44294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ИТ-3. Зона отвода железной дороги.</w:t>
      </w:r>
    </w:p>
    <w:p w:rsidR="0012385C" w:rsidRPr="00E44294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</w:t>
      </w:r>
    </w:p>
    <w:p w:rsidR="00E44294" w:rsidRDefault="00E4429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2385C" w:rsidRPr="00E44294" w:rsidRDefault="0012385C" w:rsidP="0012385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12385C" w:rsidRPr="00E44294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Pr="007949A9" w:rsidRDefault="0012385C" w:rsidP="0012385C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12385C" w:rsidRPr="007949A9" w:rsidRDefault="0012385C" w:rsidP="0012385C">
      <w:pPr>
        <w:rPr>
          <w:sz w:val="24"/>
          <w:szCs w:val="24"/>
        </w:rPr>
      </w:pPr>
    </w:p>
    <w:p w:rsidR="0012385C" w:rsidRPr="007949A9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12385C" w:rsidRPr="007949A9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Pr="0008556A" w:rsidRDefault="0012385C" w:rsidP="0012385C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12385C" w:rsidRPr="009A3BC5" w:rsidRDefault="0012385C" w:rsidP="0012385C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12385C" w:rsidRPr="004E1FCE" w:rsidRDefault="0012385C" w:rsidP="0012385C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12385C" w:rsidRPr="00B71C95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F4825" w:rsidRPr="00A51AE9" w:rsidRDefault="001F4825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585D8A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585D8A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585D8A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585D8A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585D8A">
            <w:pPr>
              <w:jc w:val="both"/>
              <w:rPr>
                <w:color w:val="000000"/>
              </w:rPr>
            </w:pPr>
          </w:p>
        </w:tc>
      </w:tr>
      <w:tr w:rsidR="001B55E1" w:rsidRPr="00962381" w:rsidTr="00585D8A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585D8A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585D8A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585D8A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585D8A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585D8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Pr="00207F3C" w:rsidRDefault="001B55E1" w:rsidP="001B55E1">
      <w:pPr>
        <w:jc w:val="both"/>
        <w:rPr>
          <w:color w:val="000000"/>
        </w:rPr>
      </w:pP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B71C95" w:rsidRDefault="001B55E1" w:rsidP="00B71C9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Pr="009A3BC5" w:rsidRDefault="0012385C" w:rsidP="0012385C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F4825" w:rsidRPr="00A51AE9" w:rsidRDefault="001F4825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 xml:space="preserve">Р-3 </w:t>
      </w:r>
      <w:r w:rsidRPr="00A51AE9">
        <w:rPr>
          <w:b/>
          <w:bCs/>
          <w:sz w:val="24"/>
          <w:szCs w:val="24"/>
        </w:rPr>
        <w:t>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2385C" w:rsidRPr="00D14C5D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12385C" w:rsidRPr="00D14C5D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Pr="00D14C5D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12385C" w:rsidRPr="00D14C5D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12385C" w:rsidRPr="00335566" w:rsidRDefault="0012385C" w:rsidP="0012385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12385C" w:rsidRDefault="0012385C" w:rsidP="0012385C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12385C" w:rsidRPr="00114B2F" w:rsidRDefault="0012385C" w:rsidP="0012385C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12385C" w:rsidRPr="00335566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CF20D8" w:rsidRDefault="00CF20D8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CF20D8" w:rsidRPr="00335566" w:rsidRDefault="00CF20D8" w:rsidP="00CF20D8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CF20D8" w:rsidRPr="00335566" w:rsidRDefault="00CF20D8" w:rsidP="00CF20D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CF20D8" w:rsidRPr="00335566" w:rsidRDefault="00CF20D8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CF20D8" w:rsidRPr="00335566" w:rsidRDefault="00CF20D8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CF20D8" w:rsidRPr="00114B2F" w:rsidRDefault="00CF20D8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CF20D8" w:rsidRPr="00335566" w:rsidRDefault="00CF20D8" w:rsidP="00CF20D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CF20D8" w:rsidRPr="00D14C5D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CF20D8" w:rsidRPr="00335566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CF20D8" w:rsidRPr="00335566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CF20D8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CF20D8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CF20D8" w:rsidRDefault="00CF20D8" w:rsidP="00CF20D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CF20D8" w:rsidRDefault="00CF20D8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F482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1F4825" w:rsidRDefault="001F4825" w:rsidP="001F4825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B55E1" w:rsidRDefault="001F4825" w:rsidP="001F4825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  <w:r w:rsidR="00965751">
        <w:rPr>
          <w:sz w:val="24"/>
          <w:szCs w:val="24"/>
        </w:rPr>
        <w:t>».</w:t>
      </w:r>
    </w:p>
    <w:p w:rsidR="00CF20D8" w:rsidRPr="00344516" w:rsidRDefault="00CF20D8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4F0457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1F4825" w:rsidRPr="00720C70" w:rsidRDefault="001F4825" w:rsidP="001F482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1F4825" w:rsidRPr="00FA2884" w:rsidRDefault="001F4825" w:rsidP="001F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FB" w:rsidRDefault="003621FB">
      <w:r>
        <w:separator/>
      </w:r>
    </w:p>
  </w:endnote>
  <w:endnote w:type="continuationSeparator" w:id="1">
    <w:p w:rsidR="003621FB" w:rsidRDefault="00362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6765B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FB" w:rsidRDefault="003621FB">
      <w:r>
        <w:separator/>
      </w:r>
    </w:p>
  </w:footnote>
  <w:footnote w:type="continuationSeparator" w:id="1">
    <w:p w:rsidR="003621FB" w:rsidRDefault="00362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680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6D6"/>
    <w:rsid w:val="000B43D0"/>
    <w:rsid w:val="000B609C"/>
    <w:rsid w:val="000B7339"/>
    <w:rsid w:val="000E3ACA"/>
    <w:rsid w:val="00106AF8"/>
    <w:rsid w:val="00110841"/>
    <w:rsid w:val="0012380D"/>
    <w:rsid w:val="0012385C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7FC1"/>
    <w:rsid w:val="001E35F5"/>
    <w:rsid w:val="001E61EA"/>
    <w:rsid w:val="001F4825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87B15"/>
    <w:rsid w:val="002A6232"/>
    <w:rsid w:val="002B1D5A"/>
    <w:rsid w:val="002B3F53"/>
    <w:rsid w:val="002C1A27"/>
    <w:rsid w:val="002C5E9E"/>
    <w:rsid w:val="002C7D8B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621FB"/>
    <w:rsid w:val="00383C7F"/>
    <w:rsid w:val="003901D7"/>
    <w:rsid w:val="003A6C9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46F9"/>
    <w:rsid w:val="00486B32"/>
    <w:rsid w:val="00493DCC"/>
    <w:rsid w:val="004C0268"/>
    <w:rsid w:val="004F0457"/>
    <w:rsid w:val="004F749F"/>
    <w:rsid w:val="0054044E"/>
    <w:rsid w:val="00553437"/>
    <w:rsid w:val="00567975"/>
    <w:rsid w:val="005752E9"/>
    <w:rsid w:val="00577C40"/>
    <w:rsid w:val="005A17C7"/>
    <w:rsid w:val="005A323B"/>
    <w:rsid w:val="005C0767"/>
    <w:rsid w:val="005C6D92"/>
    <w:rsid w:val="005F3ADE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65BF"/>
    <w:rsid w:val="00694A10"/>
    <w:rsid w:val="006C3FF0"/>
    <w:rsid w:val="006C5308"/>
    <w:rsid w:val="006D252A"/>
    <w:rsid w:val="006E60D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07DF"/>
    <w:rsid w:val="007C537F"/>
    <w:rsid w:val="007D55D3"/>
    <w:rsid w:val="007E0DF6"/>
    <w:rsid w:val="007E7BA6"/>
    <w:rsid w:val="007F5024"/>
    <w:rsid w:val="008062D8"/>
    <w:rsid w:val="008148DD"/>
    <w:rsid w:val="00821DE8"/>
    <w:rsid w:val="00824B37"/>
    <w:rsid w:val="0084166C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8F43F2"/>
    <w:rsid w:val="0090291B"/>
    <w:rsid w:val="00902EC9"/>
    <w:rsid w:val="00917DE4"/>
    <w:rsid w:val="00930734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23BAF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3610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47CE8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DE0F31"/>
    <w:rsid w:val="00DF4DA4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0B63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07745"/>
    <w:rsid w:val="00F162A3"/>
    <w:rsid w:val="00F16AFE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680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2678</Words>
  <Characters>15270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11</cp:revision>
  <cp:lastPrinted>2015-10-28T08:44:00Z</cp:lastPrinted>
  <dcterms:created xsi:type="dcterms:W3CDTF">2015-10-26T11:57:00Z</dcterms:created>
  <dcterms:modified xsi:type="dcterms:W3CDTF">2015-12-17T07:03:00Z</dcterms:modified>
</cp:coreProperties>
</file>