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-98425</wp:posOffset>
            </wp:positionV>
            <wp:extent cx="645795" cy="817245"/>
            <wp:effectExtent l="19050" t="0" r="1905" b="0"/>
            <wp:wrapTight wrapText="bothSides">
              <wp:wrapPolygon edited="0">
                <wp:start x="-637" y="0"/>
                <wp:lineTo x="-637" y="21147"/>
                <wp:lineTo x="21664" y="21147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221060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62544F" w:rsidRPr="00720C70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 </w:t>
      </w:r>
      <w:r w:rsidR="00966F4B">
        <w:rPr>
          <w:sz w:val="24"/>
          <w:szCs w:val="24"/>
        </w:rPr>
        <w:t>30</w:t>
      </w:r>
      <w:r w:rsidR="00A36AF7">
        <w:rPr>
          <w:sz w:val="24"/>
          <w:szCs w:val="24"/>
        </w:rPr>
        <w:t xml:space="preserve"> </w:t>
      </w:r>
      <w:r w:rsidR="005B5D76">
        <w:rPr>
          <w:sz w:val="24"/>
          <w:szCs w:val="24"/>
        </w:rPr>
        <w:t xml:space="preserve"> ноября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B66035" w:rsidRPr="00720C70">
        <w:rPr>
          <w:sz w:val="24"/>
          <w:szCs w:val="24"/>
        </w:rPr>
        <w:t xml:space="preserve"> </w:t>
      </w:r>
      <w:r w:rsidR="003F0D09">
        <w:rPr>
          <w:sz w:val="24"/>
          <w:szCs w:val="24"/>
        </w:rPr>
        <w:t>357</w:t>
      </w:r>
      <w:r w:rsidR="002A6232">
        <w:rPr>
          <w:sz w:val="24"/>
          <w:szCs w:val="24"/>
        </w:rPr>
        <w:t xml:space="preserve">              </w:t>
      </w:r>
      <w:r w:rsidR="00720C70" w:rsidRPr="00720C70">
        <w:rPr>
          <w:sz w:val="24"/>
          <w:szCs w:val="24"/>
        </w:rPr>
        <w:t xml:space="preserve">                                               </w:t>
      </w:r>
      <w:r w:rsidR="00720C70">
        <w:rPr>
          <w:sz w:val="24"/>
          <w:szCs w:val="24"/>
        </w:rPr>
        <w:t xml:space="preserve">                       </w:t>
      </w:r>
      <w:r w:rsidR="00720C70" w:rsidRPr="00720C70">
        <w:rPr>
          <w:sz w:val="24"/>
          <w:szCs w:val="24"/>
        </w:rPr>
        <w:t xml:space="preserve">    </w:t>
      </w:r>
      <w:r w:rsidR="0062544F"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D72CDC" w:rsidRDefault="000A7553" w:rsidP="00D72CDC">
      <w:pPr>
        <w:jc w:val="center"/>
        <w:rPr>
          <w:b/>
          <w:i/>
          <w:color w:val="000000"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 w:rsidR="00B267FA">
        <w:rPr>
          <w:b/>
          <w:i/>
          <w:sz w:val="24"/>
          <w:szCs w:val="24"/>
        </w:rPr>
        <w:t xml:space="preserve">муниципального образования </w:t>
      </w:r>
      <w:r w:rsidR="00966F4B">
        <w:rPr>
          <w:b/>
          <w:i/>
          <w:sz w:val="24"/>
          <w:szCs w:val="24"/>
        </w:rPr>
        <w:t>д. Коптелы</w:t>
      </w:r>
      <w:r w:rsidR="009C0BF4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  <w:r w:rsidRPr="002A6232">
        <w:rPr>
          <w:b/>
          <w:i/>
          <w:sz w:val="24"/>
          <w:szCs w:val="24"/>
        </w:rPr>
        <w:t>Шалинского городского округа</w:t>
      </w:r>
      <w:r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</w:t>
      </w:r>
      <w:r w:rsidR="00D72CDC" w:rsidRPr="004D7AB2">
        <w:rPr>
          <w:b/>
          <w:i/>
          <w:sz w:val="24"/>
          <w:szCs w:val="24"/>
        </w:rPr>
        <w:t xml:space="preserve">от </w:t>
      </w:r>
      <w:r w:rsidR="00D72CDC">
        <w:rPr>
          <w:b/>
          <w:i/>
          <w:sz w:val="24"/>
          <w:szCs w:val="24"/>
        </w:rPr>
        <w:t>31.01.</w:t>
      </w:r>
      <w:r w:rsidR="00D72CDC" w:rsidRPr="004D7AB2">
        <w:rPr>
          <w:b/>
          <w:i/>
          <w:sz w:val="24"/>
          <w:szCs w:val="24"/>
        </w:rPr>
        <w:t>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4D7AB2">
        <w:rPr>
          <w:b/>
          <w:i/>
          <w:color w:val="000000"/>
          <w:sz w:val="24"/>
          <w:szCs w:val="24"/>
        </w:rPr>
        <w:t>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</w:t>
      </w:r>
      <w:r w:rsidR="00B267FA">
        <w:rPr>
          <w:sz w:val="24"/>
          <w:szCs w:val="24"/>
        </w:rPr>
        <w:t xml:space="preserve">муниципального образования </w:t>
      </w:r>
      <w:r w:rsidR="00966F4B">
        <w:rPr>
          <w:sz w:val="24"/>
          <w:szCs w:val="24"/>
        </w:rPr>
        <w:t>д. Коптелы</w:t>
      </w:r>
      <w:r w:rsidR="000A7553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</w:t>
      </w:r>
      <w:r w:rsidR="00D72CDC" w:rsidRPr="00D72CDC">
        <w:rPr>
          <w:sz w:val="24"/>
          <w:szCs w:val="24"/>
        </w:rPr>
        <w:t xml:space="preserve"> 31.01. 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D72CDC">
        <w:rPr>
          <w:color w:val="000000"/>
          <w:sz w:val="24"/>
          <w:szCs w:val="24"/>
        </w:rPr>
        <w:t>»</w:t>
      </w:r>
      <w:r w:rsidR="000A7553">
        <w:rPr>
          <w:sz w:val="24"/>
          <w:szCs w:val="24"/>
        </w:rPr>
        <w:t>, следующие изменения:</w:t>
      </w:r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8C7C34" w:rsidRPr="00A51AE9" w:rsidRDefault="008C7C34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lastRenderedPageBreak/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A36AF7" w:rsidRPr="00A51AE9" w:rsidRDefault="00A36AF7" w:rsidP="00A36AF7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85456C" w:rsidRDefault="0085456C" w:rsidP="0085456C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A36AF7" w:rsidRDefault="00A36AF7" w:rsidP="00A36AF7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A36AF7" w:rsidRDefault="00A36AF7" w:rsidP="00A36AF7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A36AF7" w:rsidRPr="00D36356" w:rsidRDefault="00A36AF7" w:rsidP="00A36AF7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7F5024" w:rsidRPr="00A51AE9" w:rsidRDefault="007F5024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5"/>
        <w:gridCol w:w="4977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>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651471" w:rsidRDefault="001B55E1" w:rsidP="00651471">
      <w:pPr>
        <w:pStyle w:val="4"/>
        <w:spacing w:before="0"/>
        <w:ind w:right="74"/>
        <w:rPr>
          <w:rFonts w:ascii="Times New Roman" w:hAnsi="Times New Roman"/>
          <w:bCs w:val="0"/>
          <w:caps/>
          <w:color w:val="auto"/>
          <w:sz w:val="24"/>
          <w:szCs w:val="24"/>
        </w:rPr>
      </w:pPr>
      <w:r w:rsidRPr="00651471">
        <w:rPr>
          <w:rFonts w:ascii="Times New Roman" w:hAnsi="Times New Roman"/>
          <w:color w:val="auto"/>
          <w:sz w:val="24"/>
          <w:szCs w:val="24"/>
        </w:rPr>
        <w:t>ОБЩЕСТВЕННО- ДЕЛОВЫЕ ЗОНЫ.</w:t>
      </w:r>
    </w:p>
    <w:p w:rsidR="001B55E1" w:rsidRPr="00651471" w:rsidRDefault="001B55E1" w:rsidP="00651471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О-1. Зона делового, общественного, обслуживающего и коммерческого назначения.</w:t>
      </w:r>
    </w:p>
    <w:p w:rsidR="00A36AF7" w:rsidRPr="00651471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дошкольное, начальное и среднее общее образование;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банковская и страховая деятельность;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обслуживание.</w:t>
      </w:r>
    </w:p>
    <w:p w:rsidR="00A36AF7" w:rsidRPr="00651471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 коммунальное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 земельные участки (территории) общего пользования.</w:t>
      </w:r>
    </w:p>
    <w:p w:rsidR="00191BC8" w:rsidRDefault="00191BC8" w:rsidP="001B55E1">
      <w:pPr>
        <w:tabs>
          <w:tab w:val="left" w:pos="540"/>
        </w:tabs>
        <w:ind w:right="72" w:firstLine="567"/>
        <w:rPr>
          <w:b/>
        </w:rPr>
      </w:pPr>
    </w:p>
    <w:p w:rsidR="00191BC8" w:rsidRDefault="00B267FA" w:rsidP="00191BC8">
      <w:pPr>
        <w:pStyle w:val="a6"/>
        <w:tabs>
          <w:tab w:val="left" w:pos="0"/>
        </w:tabs>
        <w:suppressAutoHyphens w:val="0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Минимальные расстояния между жилыми и общественными зданиями следует принимать на основе расчетов инсоляции и освещенности, учета противопожарных требований и бытовых разрывов.</w:t>
      </w:r>
    </w:p>
    <w:p w:rsidR="00966F4B" w:rsidRDefault="00966F4B" w:rsidP="00966F4B">
      <w:pPr>
        <w:tabs>
          <w:tab w:val="left" w:pos="540"/>
        </w:tabs>
        <w:ind w:right="72" w:firstLine="567"/>
        <w:rPr>
          <w:bCs/>
          <w:sz w:val="24"/>
          <w:szCs w:val="24"/>
        </w:rPr>
      </w:pPr>
      <w:r w:rsidRPr="00191BC8">
        <w:rPr>
          <w:sz w:val="24"/>
          <w:szCs w:val="24"/>
        </w:rPr>
        <w:t xml:space="preserve">Специальные обслуживающие и деловые зоны для объектов с большими земельными участками О-2 и О-3 выделены для обеспечения правовых условий осуществления различных видов деятельности, объединенных общим требованием: собственники земельных участков, расположенных в этих зонах, могут использовать недвижимость в соответствии с приведенным ниже списком только после получения специальных согласований </w:t>
      </w:r>
      <w:r w:rsidRPr="00191BC8">
        <w:rPr>
          <w:bCs/>
          <w:sz w:val="24"/>
          <w:szCs w:val="24"/>
        </w:rPr>
        <w:t>посредством публичных слушаний</w:t>
      </w:r>
      <w:r>
        <w:rPr>
          <w:bCs/>
          <w:sz w:val="24"/>
          <w:szCs w:val="24"/>
        </w:rPr>
        <w:t>.</w:t>
      </w:r>
    </w:p>
    <w:p w:rsidR="00966F4B" w:rsidRPr="00191BC8" w:rsidRDefault="00966F4B" w:rsidP="00966F4B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О-2. Зона объектов здравоохранения.</w:t>
      </w:r>
    </w:p>
    <w:p w:rsidR="00966F4B" w:rsidRPr="00191BC8" w:rsidRDefault="00966F4B" w:rsidP="00966F4B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966F4B" w:rsidRDefault="00966F4B" w:rsidP="00966F4B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966F4B" w:rsidRDefault="00966F4B" w:rsidP="00966F4B">
      <w:pPr>
        <w:rPr>
          <w:sz w:val="24"/>
          <w:szCs w:val="24"/>
        </w:rPr>
      </w:pPr>
      <w:r>
        <w:rPr>
          <w:sz w:val="24"/>
          <w:szCs w:val="24"/>
        </w:rPr>
        <w:t>- амбулаторно-поликлиническое обслуживание;</w:t>
      </w:r>
    </w:p>
    <w:p w:rsidR="00966F4B" w:rsidRDefault="00966F4B" w:rsidP="00966F4B">
      <w:pPr>
        <w:rPr>
          <w:sz w:val="24"/>
          <w:szCs w:val="24"/>
        </w:rPr>
      </w:pPr>
      <w:r>
        <w:rPr>
          <w:sz w:val="24"/>
          <w:szCs w:val="24"/>
        </w:rPr>
        <w:t>- стационарное медицинское обслуживание.</w:t>
      </w:r>
    </w:p>
    <w:p w:rsidR="00966F4B" w:rsidRPr="00191BC8" w:rsidRDefault="00966F4B" w:rsidP="00966F4B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О-3. Зона объектов физкультуры и спорта.</w:t>
      </w:r>
    </w:p>
    <w:p w:rsidR="00966F4B" w:rsidRPr="00191BC8" w:rsidRDefault="00966F4B" w:rsidP="00966F4B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966F4B" w:rsidRDefault="00966F4B" w:rsidP="00966F4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спорт;</w:t>
      </w:r>
    </w:p>
    <w:p w:rsidR="00966F4B" w:rsidRDefault="00966F4B" w:rsidP="00966F4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отдых.</w:t>
      </w:r>
    </w:p>
    <w:p w:rsidR="001B55E1" w:rsidRPr="00191BC8" w:rsidRDefault="001B55E1" w:rsidP="001B55E1">
      <w:pPr>
        <w:pStyle w:val="4"/>
        <w:ind w:right="72" w:firstLine="567"/>
        <w:rPr>
          <w:rFonts w:ascii="Times New Roman" w:hAnsi="Times New Roman"/>
          <w:color w:val="auto"/>
          <w:sz w:val="24"/>
          <w:szCs w:val="24"/>
        </w:rPr>
      </w:pPr>
      <w:r w:rsidRPr="00191BC8">
        <w:rPr>
          <w:rFonts w:ascii="Times New Roman" w:hAnsi="Times New Roman"/>
          <w:color w:val="auto"/>
          <w:sz w:val="24"/>
          <w:szCs w:val="24"/>
        </w:rPr>
        <w:t>ПРОИЗВОДСТВЕННЫЕ ЗОНЫ.</w:t>
      </w:r>
    </w:p>
    <w:p w:rsidR="001B55E1" w:rsidRPr="00191BC8" w:rsidRDefault="001B55E1" w:rsidP="001B55E1">
      <w:pPr>
        <w:pStyle w:val="5"/>
        <w:ind w:right="72"/>
        <w:rPr>
          <w:b/>
          <w:color w:val="auto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П-1. Зона объектов промышленного, коммунального и складского назначения с различной степенью воздействия на окружающую среду</w:t>
      </w:r>
      <w:r w:rsidRPr="00191BC8">
        <w:rPr>
          <w:b/>
          <w:color w:val="auto"/>
        </w:rPr>
        <w:t>.</w:t>
      </w:r>
    </w:p>
    <w:p w:rsidR="00A36AF7" w:rsidRDefault="00A36AF7" w:rsidP="00A36AF7">
      <w:pPr>
        <w:pStyle w:val="5"/>
        <w:spacing w:before="0"/>
        <w:ind w:right="74"/>
        <w:rPr>
          <w:rFonts w:ascii="Times New Roman" w:hAnsi="Times New Roman"/>
          <w:b/>
          <w:i/>
          <w:color w:val="auto"/>
          <w:sz w:val="24"/>
          <w:szCs w:val="24"/>
        </w:rPr>
      </w:pPr>
      <w:bookmarkStart w:id="0" w:name="_Toc131897307"/>
      <w:r w:rsidRPr="00191BC8">
        <w:rPr>
          <w:rFonts w:ascii="Times New Roman" w:hAnsi="Times New Roman"/>
          <w:b/>
          <w:i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rPr>
          <w:sz w:val="24"/>
          <w:szCs w:val="24"/>
        </w:rPr>
      </w:pPr>
      <w:r w:rsidRPr="00191BC8">
        <w:rPr>
          <w:sz w:val="24"/>
          <w:szCs w:val="24"/>
        </w:rPr>
        <w:t xml:space="preserve">- </w:t>
      </w:r>
      <w:r>
        <w:rPr>
          <w:sz w:val="24"/>
          <w:szCs w:val="24"/>
        </w:rPr>
        <w:t>производственная деятельность;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BC8">
        <w:rPr>
          <w:sz w:val="24"/>
          <w:szCs w:val="24"/>
        </w:rPr>
        <w:t>тяжелая промышленность;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легкая промышленность;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пищевая промышленность;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строительная промышленность;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энергетика;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склады;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транспорт;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недропользование.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обслуживание.</w:t>
      </w:r>
    </w:p>
    <w:p w:rsidR="00A36AF7" w:rsidRDefault="00A36AF7" w:rsidP="00A36AF7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9A090C" w:rsidRDefault="009A090C" w:rsidP="009A090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сервиса.</w:t>
      </w:r>
    </w:p>
    <w:p w:rsidR="00B267FA" w:rsidRDefault="00B267FA" w:rsidP="000B609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267FA" w:rsidRPr="00B267FA" w:rsidRDefault="00B267FA" w:rsidP="00B267FA">
      <w:pPr>
        <w:ind w:right="-5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Территория, занимаемая площадками промышленных предприятий и других производственных объектов, учреждениями и предприятиями обслуживания, должна составлять, как правило, не менее 60% всей территории промышленной зоны;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Площадь участков, предназначенных для озеленения в пределах ограды предприятия, следует определять из расчета не менее </w:t>
      </w:r>
      <w:smartTag w:uri="urn:schemas-microsoft-com:office:smarttags" w:element="metricconverter">
        <w:smartTagPr>
          <w:attr w:name="ProductID" w:val="3 м2"/>
        </w:smartTagPr>
        <w:r w:rsidRPr="00B267FA">
          <w:rPr>
            <w:sz w:val="24"/>
            <w:szCs w:val="24"/>
          </w:rPr>
          <w:t>3 м</w:t>
        </w:r>
        <w:r w:rsidRPr="00B267FA">
          <w:rPr>
            <w:sz w:val="24"/>
            <w:szCs w:val="24"/>
            <w:vertAlign w:val="superscript"/>
          </w:rPr>
          <w:t>2</w:t>
        </w:r>
      </w:smartTag>
      <w:r w:rsidRPr="00B267FA">
        <w:rPr>
          <w:sz w:val="24"/>
          <w:szCs w:val="24"/>
        </w:rPr>
        <w:t xml:space="preserve"> на одного работающего в наиболее многочисленной смене. Предельный размер участков, предназначенных для озеленения, не должен превышать 15% площадки предприятия;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 Производственные территории следует преобразовывать с учетом примыкания к территориям иного функционального назначения: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  В полосе примыкания производственных зон к общественным территориям следует размещать общественно-административные («предзаводские» по терминологии СНиП II-89-80*) части производственных территорий, включая их в формирование общественных центров и зон;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  В полосе примыкания к жилым территориям не следует оформлять границы производственного участка глухим забором, рекомендуется использование входящей в состав СЗЗ полосы примыкания для размещения коммунальных объектов жилого района, многоэтажных гаражей-стоянок различных типов, зеленых насаждений;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  Не менее 20% от объема наземной части производственной застройки в примагистральной полосе следует размещать в подземном уровне (аварийные службы водопровода, канализации, ремонтные участки и стоянки малогабаритных машин механической уборки территорий).</w:t>
      </w:r>
    </w:p>
    <w:p w:rsidR="00B267FA" w:rsidRPr="00B267FA" w:rsidRDefault="00B267FA" w:rsidP="00B267FA">
      <w:pPr>
        <w:pStyle w:val="nienie"/>
        <w:ind w:right="72"/>
        <w:rPr>
          <w:rFonts w:ascii="Times New Roman" w:hAnsi="Times New Roman"/>
          <w:szCs w:val="24"/>
        </w:rPr>
      </w:pPr>
    </w:p>
    <w:bookmarkEnd w:id="0"/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1B55E1" w:rsidRPr="00E44294" w:rsidRDefault="001B55E1" w:rsidP="00E44294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 w:rsidR="007949A9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A36AF7" w:rsidRPr="00E44294" w:rsidRDefault="00A36AF7" w:rsidP="00A36AF7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Pr="007949A9" w:rsidRDefault="00A36AF7" w:rsidP="00A36AF7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7949A9" w:rsidRDefault="00B267FA" w:rsidP="007949A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267FA" w:rsidRPr="00B267FA" w:rsidRDefault="00B267FA" w:rsidP="00B267FA">
      <w:pPr>
        <w:pStyle w:val="ConsNormal"/>
        <w:ind w:right="7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267FA">
        <w:rPr>
          <w:rFonts w:ascii="Times New Roman" w:hAnsi="Times New Roman" w:cs="Times New Roman"/>
          <w:sz w:val="24"/>
          <w:szCs w:val="24"/>
        </w:rPr>
        <w:t xml:space="preserve">                  Расстояния от зданий и сооружений до зеленых насаждений следует принимать в соответствии с Нормативами градостроительного проектирования Свердловской области при условии 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 xml:space="preserve">беспрепятственного подъезда и работы пожарного автотранспорта; </w:t>
      </w:r>
      <w:r w:rsidRPr="00B267FA">
        <w:rPr>
          <w:rFonts w:ascii="Times New Roman" w:hAnsi="Times New Roman" w:cs="Times New Roman"/>
          <w:sz w:val="24"/>
          <w:szCs w:val="24"/>
        </w:rPr>
        <w:t>от воздушных линий электропередачи – в соответствии с ПУЭ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B267FA" w:rsidRPr="00B267FA" w:rsidRDefault="00B267FA" w:rsidP="00B267FA">
      <w:pPr>
        <w:pStyle w:val="ConsNormal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8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804"/>
        <w:gridCol w:w="1569"/>
        <w:gridCol w:w="1712"/>
      </w:tblGrid>
      <w:tr w:rsidR="00B267FA" w:rsidRPr="00B267FA" w:rsidTr="00980B3B">
        <w:trPr>
          <w:trHeight w:val="508"/>
        </w:trPr>
        <w:tc>
          <w:tcPr>
            <w:tcW w:w="6804" w:type="dxa"/>
            <w:vMerge w:val="restart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Здание, сооружение</w:t>
            </w:r>
          </w:p>
        </w:tc>
        <w:tc>
          <w:tcPr>
            <w:tcW w:w="3281" w:type="dxa"/>
            <w:gridSpan w:val="2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Расстояния, м, от здания, сооружения, объекта до оси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vMerge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ствола дерева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кустарника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Наружная стена здания и сооружения 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5,0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Край тротуара и садовой дорожки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36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br w:type="page"/>
              <w:t>Край проезжей части улиц, кромка укрепленной полосы обочины дороги или бровка канавы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Мачта и опора осветительной сети, мостовая опора и эстакада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4,0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bottom w:val="single" w:sz="4" w:space="0" w:color="auto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откоса, террасы и др.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или внутренняя грань подпорной стенки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3,0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365"/>
        </w:trPr>
        <w:tc>
          <w:tcPr>
            <w:tcW w:w="6804" w:type="dxa"/>
            <w:tcBorders>
              <w:bottom w:val="nil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Подземные сети: </w:t>
            </w:r>
          </w:p>
          <w:p w:rsidR="00B267FA" w:rsidRPr="00B267FA" w:rsidRDefault="00B267FA" w:rsidP="00980B3B">
            <w:pPr>
              <w:widowControl w:val="0"/>
              <w:ind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газопровод, канализация</w:t>
            </w:r>
          </w:p>
        </w:tc>
        <w:tc>
          <w:tcPr>
            <w:tcW w:w="1569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  <w:tc>
          <w:tcPr>
            <w:tcW w:w="1712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567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тепловая сеть (стенка канала, тоннеля или оболочка при бесканальной прокладке)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водопровод, дренаж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312"/>
        </w:trPr>
        <w:tc>
          <w:tcPr>
            <w:tcW w:w="6804" w:type="dxa"/>
            <w:tcBorders>
              <w:top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силовой кабель и кабель связи</w:t>
            </w:r>
          </w:p>
        </w:tc>
        <w:tc>
          <w:tcPr>
            <w:tcW w:w="1569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</w:tr>
    </w:tbl>
    <w:p w:rsidR="00B267FA" w:rsidRPr="00B267FA" w:rsidRDefault="00B267FA" w:rsidP="00B267FA">
      <w:pPr>
        <w:widowControl w:val="0"/>
        <w:ind w:right="72" w:firstLine="567"/>
        <w:jc w:val="both"/>
        <w:rPr>
          <w:spacing w:val="40"/>
          <w:sz w:val="24"/>
          <w:szCs w:val="24"/>
        </w:rPr>
      </w:pPr>
      <w:r w:rsidRPr="00B267FA">
        <w:rPr>
          <w:spacing w:val="40"/>
          <w:sz w:val="24"/>
          <w:szCs w:val="24"/>
        </w:rPr>
        <w:t>Примечания: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1. Приведенные нормы относятся к деревьям с диаметром кроны не более </w:t>
      </w:r>
      <w:smartTag w:uri="urn:schemas-microsoft-com:office:smarttags" w:element="metricconverter">
        <w:smartTagPr>
          <w:attr w:name="ProductID" w:val="5 м"/>
        </w:smartTagPr>
        <w:r w:rsidRPr="00B267FA">
          <w:rPr>
            <w:sz w:val="24"/>
            <w:szCs w:val="24"/>
          </w:rPr>
          <w:t>5 м</w:t>
        </w:r>
      </w:smartTag>
      <w:r w:rsidRPr="00B267FA">
        <w:rPr>
          <w:sz w:val="24"/>
          <w:szCs w:val="24"/>
        </w:rPr>
        <w:t xml:space="preserve"> и должны быть увеличены для деревьев с кроной большего диаметра.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2.Деревья, высаживаемые у зданий, не должны препятствовать инсоляции и освещенности жилых и общественных помещений.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3. При односторонней юго-западной и южной ориентации жилых помещений необходимо предусматривать дополнительное озеленение, препятствующее перегреву помещений.</w:t>
      </w:r>
    </w:p>
    <w:p w:rsidR="00A34DB8" w:rsidRPr="00B71C95" w:rsidRDefault="00A34DB8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1B55E1" w:rsidRPr="00D14C5D" w:rsidRDefault="001B55E1" w:rsidP="00D14C5D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9860D1" w:rsidRPr="00D14C5D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9860D1" w:rsidRPr="00335566" w:rsidRDefault="009860D1" w:rsidP="009860D1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9860D1" w:rsidRDefault="009860D1" w:rsidP="009860D1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9860D1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9860D1" w:rsidRPr="00114B2F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9860D1" w:rsidRPr="00335566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территории.</w:t>
      </w:r>
    </w:p>
    <w:p w:rsidR="009860D1" w:rsidRDefault="009860D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1B55E1" w:rsidRPr="00ED7E30" w:rsidRDefault="001B55E1" w:rsidP="00ED7E30">
      <w:pPr>
        <w:pStyle w:val="4"/>
        <w:spacing w:before="0"/>
        <w:ind w:right="-851"/>
        <w:rPr>
          <w:rFonts w:ascii="Times New Roman" w:hAnsi="Times New Roman"/>
          <w:color w:val="auto"/>
          <w:sz w:val="24"/>
          <w:szCs w:val="24"/>
        </w:rPr>
      </w:pPr>
      <w:r w:rsidRPr="00ED7E30">
        <w:rPr>
          <w:rFonts w:ascii="Times New Roman" w:hAnsi="Times New Roman"/>
          <w:color w:val="auto"/>
          <w:sz w:val="24"/>
          <w:szCs w:val="24"/>
        </w:rPr>
        <w:t xml:space="preserve">ЗОНЫ СПЕЦИАЛЬНОГО НАЗНАЧЕНИЯ. </w:t>
      </w:r>
    </w:p>
    <w:p w:rsidR="001B55E1" w:rsidRPr="00ED7E30" w:rsidRDefault="001B55E1" w:rsidP="00ED7E30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СН-1. Зона кладбищ.</w:t>
      </w:r>
    </w:p>
    <w:p w:rsidR="001B55E1" w:rsidRPr="00ED7E30" w:rsidRDefault="001B55E1" w:rsidP="00ED7E30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B55E1" w:rsidRPr="009A3BC5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ритуальная деятельность.</w:t>
      </w:r>
    </w:p>
    <w:p w:rsidR="001B55E1" w:rsidRPr="00ED7E30" w:rsidRDefault="001B55E1" w:rsidP="00ED7E30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515D17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обслуживание.</w:t>
      </w:r>
    </w:p>
    <w:p w:rsidR="00515D17" w:rsidRDefault="00515D17" w:rsidP="00515D17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</w:t>
      </w:r>
    </w:p>
    <w:p w:rsidR="00B267FA" w:rsidRDefault="00515D17" w:rsidP="00515D17">
      <w:pPr>
        <w:rPr>
          <w:sz w:val="24"/>
          <w:szCs w:val="24"/>
        </w:rPr>
      </w:pPr>
      <w:r w:rsidRPr="00D9565F">
        <w:rPr>
          <w:sz w:val="24"/>
          <w:szCs w:val="24"/>
        </w:rPr>
        <w:t>- магазины.</w:t>
      </w:r>
    </w:p>
    <w:p w:rsidR="00B267FA" w:rsidRDefault="00B267FA" w:rsidP="00515D17">
      <w:pPr>
        <w:rPr>
          <w:sz w:val="24"/>
          <w:szCs w:val="24"/>
        </w:rPr>
      </w:pPr>
    </w:p>
    <w:p w:rsidR="00B267FA" w:rsidRPr="00B267FA" w:rsidRDefault="00B267FA" w:rsidP="00B267FA">
      <w:pPr>
        <w:jc w:val="both"/>
        <w:rPr>
          <w:sz w:val="24"/>
          <w:szCs w:val="24"/>
        </w:rPr>
      </w:pPr>
      <w:r w:rsidRPr="00B267FA">
        <w:rPr>
          <w:sz w:val="24"/>
          <w:szCs w:val="24"/>
        </w:rPr>
        <w:t>При отсутствии необходимых гидрогеологических условий рекомендуется проводить инженерную подготовку территории будущего кладбища, включающую осушение территорий, устройство дренажей, засыпку на поверхность мелкозернистых сухих грунтов;</w:t>
      </w:r>
    </w:p>
    <w:p w:rsidR="00B267FA" w:rsidRPr="00B267FA" w:rsidRDefault="00B267FA" w:rsidP="00B267FA">
      <w:pPr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Для всех типов кладбищ площадь мест захоронения должна составлять не менее 65-75% от общей площади кладбища, а площадь зеленых насаждений - не менее 25%;</w:t>
      </w:r>
    </w:p>
    <w:p w:rsidR="00B267FA" w:rsidRPr="00B267FA" w:rsidRDefault="00B267FA" w:rsidP="00B267FA">
      <w:pPr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Территорию кладбища независимо от способа захоронения следует подразделять на функциональные зоны: входную, ритуальную, административно-хозяйственную, захоронений, моральной (зеленой) защиты по периметру кладбища;</w:t>
      </w:r>
    </w:p>
    <w:p w:rsidR="001B55E1" w:rsidRPr="00B267FA" w:rsidRDefault="00B267FA" w:rsidP="00B267FA">
      <w:pPr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Размеры участков кладбищ должны быть не менее </w:t>
      </w:r>
      <w:smartTag w:uri="urn:schemas-microsoft-com:office:smarttags" w:element="metricconverter">
        <w:smartTagPr>
          <w:attr w:name="ProductID" w:val="0,5 га"/>
        </w:smartTagPr>
        <w:r w:rsidRPr="00B267FA">
          <w:rPr>
            <w:sz w:val="24"/>
            <w:szCs w:val="24"/>
          </w:rPr>
          <w:t>0,5 га</w:t>
        </w:r>
      </w:smartTag>
      <w:r w:rsidRPr="00B267FA">
        <w:rPr>
          <w:sz w:val="24"/>
          <w:szCs w:val="24"/>
        </w:rPr>
        <w:t xml:space="preserve"> и не более </w:t>
      </w:r>
      <w:smartTag w:uri="urn:schemas-microsoft-com:office:smarttags" w:element="metricconverter">
        <w:smartTagPr>
          <w:attr w:name="ProductID" w:val="40 га"/>
        </w:smartTagPr>
        <w:r w:rsidRPr="00B267FA">
          <w:rPr>
            <w:sz w:val="24"/>
            <w:szCs w:val="24"/>
          </w:rPr>
          <w:t>40 га</w:t>
        </w:r>
      </w:smartTag>
      <w:r w:rsidRPr="00B267FA">
        <w:rPr>
          <w:sz w:val="24"/>
          <w:szCs w:val="24"/>
        </w:rPr>
        <w:t>.</w:t>
      </w:r>
      <w:r w:rsidR="00965751" w:rsidRPr="00B267FA">
        <w:rPr>
          <w:sz w:val="24"/>
          <w:szCs w:val="24"/>
        </w:rPr>
        <w:t>».</w:t>
      </w:r>
    </w:p>
    <w:p w:rsidR="00515D17" w:rsidRDefault="001B55E1" w:rsidP="00720C70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720C70">
      <w:footerReference w:type="default" r:id="rId9"/>
      <w:footnotePr>
        <w:pos w:val="beneathText"/>
      </w:footnotePr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BDB" w:rsidRDefault="006C3BDB">
      <w:r>
        <w:separator/>
      </w:r>
    </w:p>
  </w:endnote>
  <w:endnote w:type="continuationSeparator" w:id="1">
    <w:p w:rsidR="006C3BDB" w:rsidRDefault="006C3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6" w:rsidRDefault="00F05523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5B5D76" w:rsidRDefault="005B5D76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BDB" w:rsidRDefault="006C3BDB">
      <w:r>
        <w:separator/>
      </w:r>
    </w:p>
  </w:footnote>
  <w:footnote w:type="continuationSeparator" w:id="1">
    <w:p w:rsidR="006C3BDB" w:rsidRDefault="006C3B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84994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57CEE"/>
    <w:rsid w:val="000727CC"/>
    <w:rsid w:val="000A7553"/>
    <w:rsid w:val="000A76D6"/>
    <w:rsid w:val="000B2D51"/>
    <w:rsid w:val="000B43D0"/>
    <w:rsid w:val="000B609C"/>
    <w:rsid w:val="000B7339"/>
    <w:rsid w:val="000E3ACA"/>
    <w:rsid w:val="000E6A41"/>
    <w:rsid w:val="00106AF8"/>
    <w:rsid w:val="00110841"/>
    <w:rsid w:val="0012380D"/>
    <w:rsid w:val="00127D32"/>
    <w:rsid w:val="00130511"/>
    <w:rsid w:val="00136631"/>
    <w:rsid w:val="0014671B"/>
    <w:rsid w:val="00154797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D2337"/>
    <w:rsid w:val="001D7FC1"/>
    <w:rsid w:val="001E35F5"/>
    <w:rsid w:val="001E61EA"/>
    <w:rsid w:val="00206126"/>
    <w:rsid w:val="002148C6"/>
    <w:rsid w:val="00220FAD"/>
    <w:rsid w:val="00221060"/>
    <w:rsid w:val="00222448"/>
    <w:rsid w:val="00225ABB"/>
    <w:rsid w:val="002336A1"/>
    <w:rsid w:val="002415F6"/>
    <w:rsid w:val="002543DB"/>
    <w:rsid w:val="00287B15"/>
    <w:rsid w:val="002A6232"/>
    <w:rsid w:val="002B1D5A"/>
    <w:rsid w:val="002C1A27"/>
    <w:rsid w:val="002C5E9E"/>
    <w:rsid w:val="002D02CF"/>
    <w:rsid w:val="002D23BD"/>
    <w:rsid w:val="002E1779"/>
    <w:rsid w:val="002E25E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57F4B"/>
    <w:rsid w:val="00383C7F"/>
    <w:rsid w:val="003B3BA1"/>
    <w:rsid w:val="003C3654"/>
    <w:rsid w:val="003D167C"/>
    <w:rsid w:val="003D3A43"/>
    <w:rsid w:val="003D554E"/>
    <w:rsid w:val="003E712C"/>
    <w:rsid w:val="003F0D09"/>
    <w:rsid w:val="003F0E7E"/>
    <w:rsid w:val="003F20B0"/>
    <w:rsid w:val="003F428C"/>
    <w:rsid w:val="00410D5F"/>
    <w:rsid w:val="00413479"/>
    <w:rsid w:val="00426D96"/>
    <w:rsid w:val="00427E2B"/>
    <w:rsid w:val="00455F6E"/>
    <w:rsid w:val="00486B32"/>
    <w:rsid w:val="00493DCC"/>
    <w:rsid w:val="004C0268"/>
    <w:rsid w:val="00515D17"/>
    <w:rsid w:val="0054044E"/>
    <w:rsid w:val="00553437"/>
    <w:rsid w:val="00567975"/>
    <w:rsid w:val="005752E9"/>
    <w:rsid w:val="00577C40"/>
    <w:rsid w:val="005A17C7"/>
    <w:rsid w:val="005A323B"/>
    <w:rsid w:val="005B5D76"/>
    <w:rsid w:val="005C0767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73553"/>
    <w:rsid w:val="006740C6"/>
    <w:rsid w:val="00694A10"/>
    <w:rsid w:val="006964EC"/>
    <w:rsid w:val="006C3BDB"/>
    <w:rsid w:val="006C5308"/>
    <w:rsid w:val="006D252A"/>
    <w:rsid w:val="006E60D3"/>
    <w:rsid w:val="00701033"/>
    <w:rsid w:val="00720C70"/>
    <w:rsid w:val="00721C38"/>
    <w:rsid w:val="007317B2"/>
    <w:rsid w:val="00736A7F"/>
    <w:rsid w:val="00740D30"/>
    <w:rsid w:val="00745854"/>
    <w:rsid w:val="00762E66"/>
    <w:rsid w:val="007949A9"/>
    <w:rsid w:val="007A41F2"/>
    <w:rsid w:val="007C537F"/>
    <w:rsid w:val="007D55D3"/>
    <w:rsid w:val="007E7BA6"/>
    <w:rsid w:val="007F5024"/>
    <w:rsid w:val="008062D8"/>
    <w:rsid w:val="00821DE8"/>
    <w:rsid w:val="00824B37"/>
    <w:rsid w:val="00852DD4"/>
    <w:rsid w:val="00853F73"/>
    <w:rsid w:val="0085456C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406B1"/>
    <w:rsid w:val="009429E2"/>
    <w:rsid w:val="00957462"/>
    <w:rsid w:val="00965751"/>
    <w:rsid w:val="00966F4B"/>
    <w:rsid w:val="00981DF9"/>
    <w:rsid w:val="00983069"/>
    <w:rsid w:val="009860D1"/>
    <w:rsid w:val="0098708F"/>
    <w:rsid w:val="00993188"/>
    <w:rsid w:val="009A090C"/>
    <w:rsid w:val="009B6CA1"/>
    <w:rsid w:val="009C0BF4"/>
    <w:rsid w:val="009D04DA"/>
    <w:rsid w:val="009D2678"/>
    <w:rsid w:val="009F1737"/>
    <w:rsid w:val="009F2C2C"/>
    <w:rsid w:val="00A135B6"/>
    <w:rsid w:val="00A235C1"/>
    <w:rsid w:val="00A3042F"/>
    <w:rsid w:val="00A34DB8"/>
    <w:rsid w:val="00A36AF7"/>
    <w:rsid w:val="00A4137D"/>
    <w:rsid w:val="00A43420"/>
    <w:rsid w:val="00A45766"/>
    <w:rsid w:val="00A46732"/>
    <w:rsid w:val="00A51AE9"/>
    <w:rsid w:val="00A545F2"/>
    <w:rsid w:val="00A56970"/>
    <w:rsid w:val="00A67647"/>
    <w:rsid w:val="00A746FF"/>
    <w:rsid w:val="00A97F21"/>
    <w:rsid w:val="00AA7CE6"/>
    <w:rsid w:val="00AB7968"/>
    <w:rsid w:val="00AE20B1"/>
    <w:rsid w:val="00AE4A70"/>
    <w:rsid w:val="00AF1782"/>
    <w:rsid w:val="00AF43D6"/>
    <w:rsid w:val="00B025B7"/>
    <w:rsid w:val="00B10685"/>
    <w:rsid w:val="00B21711"/>
    <w:rsid w:val="00B22EA2"/>
    <w:rsid w:val="00B267FA"/>
    <w:rsid w:val="00B36D9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D665F"/>
    <w:rsid w:val="00BD7F11"/>
    <w:rsid w:val="00C134B4"/>
    <w:rsid w:val="00C226ED"/>
    <w:rsid w:val="00C31FD2"/>
    <w:rsid w:val="00C46476"/>
    <w:rsid w:val="00C511FF"/>
    <w:rsid w:val="00C54CC6"/>
    <w:rsid w:val="00C7303C"/>
    <w:rsid w:val="00C97111"/>
    <w:rsid w:val="00CA3208"/>
    <w:rsid w:val="00CA7D0C"/>
    <w:rsid w:val="00CC411F"/>
    <w:rsid w:val="00CC7125"/>
    <w:rsid w:val="00CD0EE0"/>
    <w:rsid w:val="00CF02A3"/>
    <w:rsid w:val="00CF1DAF"/>
    <w:rsid w:val="00D07A79"/>
    <w:rsid w:val="00D14C5D"/>
    <w:rsid w:val="00D25E0E"/>
    <w:rsid w:val="00D36356"/>
    <w:rsid w:val="00D40A01"/>
    <w:rsid w:val="00D52A45"/>
    <w:rsid w:val="00D72CDC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7749"/>
    <w:rsid w:val="00ED2150"/>
    <w:rsid w:val="00ED7E30"/>
    <w:rsid w:val="00F05523"/>
    <w:rsid w:val="00F05B38"/>
    <w:rsid w:val="00F05BD9"/>
    <w:rsid w:val="00F162A3"/>
    <w:rsid w:val="00F314A3"/>
    <w:rsid w:val="00F34835"/>
    <w:rsid w:val="00F46668"/>
    <w:rsid w:val="00F6764D"/>
    <w:rsid w:val="00F76AEA"/>
    <w:rsid w:val="00F843DE"/>
    <w:rsid w:val="00F94967"/>
    <w:rsid w:val="00F9639F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499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paragraph" w:customStyle="1" w:styleId="14">
    <w:name w:val="Знак1"/>
    <w:basedOn w:val="a"/>
    <w:rsid w:val="00B267FA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ConsNormal">
    <w:name w:val="ConsNormal"/>
    <w:rsid w:val="00B267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AFFB1-2AFD-4BDF-AA04-5DE545D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2575</Words>
  <Characters>14679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ПРОЕКТ РЕШЕНИЯ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17220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Иванов</cp:lastModifiedBy>
  <cp:revision>6</cp:revision>
  <cp:lastPrinted>2015-10-28T05:22:00Z</cp:lastPrinted>
  <dcterms:created xsi:type="dcterms:W3CDTF">2015-11-16T10:34:00Z</dcterms:created>
  <dcterms:modified xsi:type="dcterms:W3CDTF">2015-12-17T07:05:00Z</dcterms:modified>
</cp:coreProperties>
</file>