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7A" w:rsidRPr="00BE206D" w:rsidRDefault="00C4705A" w:rsidP="00180D7A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 ПОДПРОГРАММЫ</w:t>
      </w:r>
    </w:p>
    <w:p w:rsidR="00180D7A" w:rsidRPr="00BE206D" w:rsidRDefault="00180D7A" w:rsidP="00180D7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06D">
        <w:rPr>
          <w:rFonts w:ascii="Times New Roman" w:hAnsi="Times New Roman" w:cs="Times New Roman"/>
          <w:b/>
          <w:bCs/>
          <w:sz w:val="24"/>
          <w:szCs w:val="24"/>
        </w:rPr>
        <w:t>"РАЗВИТИЕ АРХИВНОГО ДЕЛА НА ТЕРРИТОРИИ</w:t>
      </w:r>
    </w:p>
    <w:p w:rsidR="00180D7A" w:rsidRPr="00BE206D" w:rsidRDefault="00180D7A" w:rsidP="00180D7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06D">
        <w:rPr>
          <w:rFonts w:ascii="Times New Roman" w:hAnsi="Times New Roman" w:cs="Times New Roman"/>
          <w:b/>
          <w:bCs/>
          <w:sz w:val="24"/>
          <w:szCs w:val="24"/>
        </w:rPr>
        <w:t>ШАЛИ</w:t>
      </w:r>
      <w:r w:rsidR="006F4D16">
        <w:rPr>
          <w:rFonts w:ascii="Times New Roman" w:hAnsi="Times New Roman" w:cs="Times New Roman"/>
          <w:b/>
          <w:bCs/>
          <w:sz w:val="24"/>
          <w:szCs w:val="24"/>
        </w:rPr>
        <w:t>НСКОГО ГОРОДСКОГО ОКРУГ  НА 2019 –  2023 ГОДЫ</w:t>
      </w:r>
      <w:r w:rsidRPr="00BE206D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180D7A" w:rsidRPr="00BE206D" w:rsidRDefault="00180D7A" w:rsidP="00180D7A">
      <w:pPr>
        <w:ind w:firstLine="709"/>
        <w:jc w:val="center"/>
        <w:rPr>
          <w:b/>
          <w:sz w:val="24"/>
          <w:szCs w:val="24"/>
        </w:rPr>
      </w:pPr>
      <w:r w:rsidRPr="00BE206D">
        <w:rPr>
          <w:b/>
          <w:sz w:val="24"/>
          <w:szCs w:val="24"/>
        </w:rPr>
        <w:t>муниципальной программы «Социально-экономическое развитие</w:t>
      </w:r>
    </w:p>
    <w:p w:rsidR="00180D7A" w:rsidRPr="00BE206D" w:rsidRDefault="00180D7A" w:rsidP="00180D7A">
      <w:pPr>
        <w:ind w:firstLine="709"/>
        <w:jc w:val="center"/>
        <w:rPr>
          <w:b/>
          <w:sz w:val="24"/>
          <w:szCs w:val="24"/>
        </w:rPr>
      </w:pPr>
      <w:r w:rsidRPr="00BE206D">
        <w:rPr>
          <w:b/>
          <w:sz w:val="24"/>
          <w:szCs w:val="24"/>
        </w:rPr>
        <w:t>Шалинског</w:t>
      </w:r>
      <w:r w:rsidR="00637C80">
        <w:rPr>
          <w:b/>
          <w:sz w:val="24"/>
          <w:szCs w:val="24"/>
        </w:rPr>
        <w:t>о городского округа до 2023 года</w:t>
      </w:r>
      <w:r w:rsidRPr="00BE206D">
        <w:rPr>
          <w:b/>
          <w:sz w:val="24"/>
          <w:szCs w:val="24"/>
        </w:rPr>
        <w:t>»</w:t>
      </w:r>
    </w:p>
    <w:p w:rsidR="00180D7A" w:rsidRPr="000F3A00" w:rsidRDefault="00180D7A" w:rsidP="00180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0D7A" w:rsidRPr="00BE206D" w:rsidRDefault="00180D7A" w:rsidP="00180D7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33"/>
      <w:bookmarkEnd w:id="0"/>
      <w:r w:rsidRPr="00BE206D">
        <w:rPr>
          <w:rFonts w:ascii="Times New Roman" w:hAnsi="Times New Roman" w:cs="Times New Roman"/>
          <w:sz w:val="24"/>
          <w:szCs w:val="24"/>
        </w:rPr>
        <w:t xml:space="preserve">ПАСПОРТ </w:t>
      </w:r>
    </w:p>
    <w:p w:rsidR="00180D7A" w:rsidRPr="00BE206D" w:rsidRDefault="00180D7A" w:rsidP="00180D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206D">
        <w:rPr>
          <w:rFonts w:ascii="Times New Roman" w:hAnsi="Times New Roman" w:cs="Times New Roman"/>
          <w:sz w:val="24"/>
          <w:szCs w:val="24"/>
        </w:rPr>
        <w:t xml:space="preserve">ПОДПРОГРАММЫ "РАЗВИТИЕ АРХИВНОГО ДЕЛА НА ТЕРРИТОРИИ </w:t>
      </w:r>
    </w:p>
    <w:p w:rsidR="00180D7A" w:rsidRPr="00BE206D" w:rsidRDefault="00180D7A" w:rsidP="00180D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206D">
        <w:rPr>
          <w:rFonts w:ascii="Times New Roman" w:hAnsi="Times New Roman" w:cs="Times New Roman"/>
          <w:sz w:val="24"/>
          <w:szCs w:val="24"/>
        </w:rPr>
        <w:t>ШАЛИ</w:t>
      </w:r>
      <w:r w:rsidR="006F4D16">
        <w:rPr>
          <w:rFonts w:ascii="Times New Roman" w:hAnsi="Times New Roman" w:cs="Times New Roman"/>
          <w:sz w:val="24"/>
          <w:szCs w:val="24"/>
        </w:rPr>
        <w:t>НСКОГО ГОРОДСКОГО ОКРУГА НА 2019- 2023 ГОДЫ</w:t>
      </w:r>
      <w:r w:rsidRPr="00BE206D">
        <w:rPr>
          <w:rFonts w:ascii="Times New Roman" w:hAnsi="Times New Roman" w:cs="Times New Roman"/>
          <w:sz w:val="24"/>
          <w:szCs w:val="24"/>
        </w:rPr>
        <w:t>"</w:t>
      </w:r>
    </w:p>
    <w:p w:rsidR="00180D7A" w:rsidRPr="000F3A00" w:rsidRDefault="00180D7A" w:rsidP="00180D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07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5"/>
        <w:gridCol w:w="6462"/>
      </w:tblGrid>
      <w:tr w:rsidR="00180D7A" w:rsidRPr="000F3A00" w:rsidTr="00F9598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D7A" w:rsidRPr="000F3A00" w:rsidRDefault="00180D7A" w:rsidP="00F959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подпрограммы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D7A" w:rsidRPr="000F3A00" w:rsidRDefault="00180D7A" w:rsidP="00F959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180D7A" w:rsidRPr="000F3A00" w:rsidTr="00F9598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D7A" w:rsidRPr="000F3A00" w:rsidRDefault="00180D7A" w:rsidP="00F959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D7A" w:rsidRPr="000F3A00" w:rsidRDefault="00180D7A" w:rsidP="00F959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F4D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6F4D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80D7A" w:rsidRPr="000F3A00" w:rsidTr="00F9598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D7A" w:rsidRPr="000F3A00" w:rsidRDefault="00180D7A" w:rsidP="00F959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>Цели и задачи  подпрограммы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D7A" w:rsidRPr="000F3A00" w:rsidRDefault="00180D7A" w:rsidP="00F959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>: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Шалинского городского округа, в интересах граждан, общества и государства.</w:t>
            </w:r>
          </w:p>
          <w:p w:rsidR="00180D7A" w:rsidRPr="000F3A00" w:rsidRDefault="00180D7A" w:rsidP="00F959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 архива и укрепления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материально-технической базы</w:t>
            </w: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0D7A" w:rsidRPr="000F3A00" w:rsidRDefault="00180D7A" w:rsidP="00F959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2. </w:t>
            </w: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 технологий в сфере архивного дела, в том числе оцифровка Архивного фонда Российской Федерации и научно-справочного аппарата к ним</w:t>
            </w:r>
          </w:p>
        </w:tc>
      </w:tr>
      <w:tr w:rsidR="00180D7A" w:rsidRPr="000F3A00" w:rsidTr="00F9598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D7A" w:rsidRPr="000F3A00" w:rsidRDefault="00180D7A" w:rsidP="00F959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>Перечень основных целевых показателей  подпрограммы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D7A" w:rsidRPr="000F3A00" w:rsidRDefault="00180D7A" w:rsidP="00F95980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>1) создание оптимальных условий, обеспечивающих физическую сохранность архивных документов;</w:t>
            </w:r>
          </w:p>
          <w:p w:rsidR="00180D7A" w:rsidRPr="000F3A00" w:rsidRDefault="008F587B" w:rsidP="00F95980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80D7A" w:rsidRPr="000F3A00">
              <w:rPr>
                <w:rFonts w:ascii="Times New Roman" w:hAnsi="Times New Roman" w:cs="Times New Roman"/>
                <w:sz w:val="24"/>
                <w:szCs w:val="24"/>
              </w:rPr>
              <w:t xml:space="preserve"> оснащение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помещения </w:t>
            </w: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архивохранилища</w:t>
            </w:r>
            <w:r w:rsidR="00180D7A" w:rsidRPr="000F3A00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современным оборудованием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хранения архивных документов</w:t>
            </w:r>
            <w:r w:rsidR="00180D7A" w:rsidRPr="000F3A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0D7A" w:rsidRPr="000F3A00" w:rsidRDefault="00180D7A" w:rsidP="00F95980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 xml:space="preserve">3) 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архивных </w:t>
            </w: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</w:t>
            </w:r>
            <w:r w:rsidRPr="00D97298">
              <w:rPr>
                <w:rFonts w:ascii="Times New Roman" w:hAnsi="Times New Roman" w:cs="Times New Roman"/>
                <w:sz w:val="24"/>
                <w:szCs w:val="24"/>
              </w:rPr>
              <w:t>государственной собственности Свердловской области</w:t>
            </w: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>, доступных пользователям в оцифрованном виде</w:t>
            </w:r>
          </w:p>
        </w:tc>
      </w:tr>
      <w:tr w:rsidR="00180D7A" w:rsidRPr="000F3A00" w:rsidTr="00F9598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D7A" w:rsidRPr="000F3A00" w:rsidRDefault="00180D7A" w:rsidP="00F959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подпрограммы по годам реализации, тыс. рублей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D7A" w:rsidRPr="000F3A00" w:rsidRDefault="00180D7A" w:rsidP="00F95980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180D7A" w:rsidRDefault="00180D7A" w:rsidP="00F95980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бюджет: </w:t>
            </w:r>
          </w:p>
          <w:p w:rsidR="00180D7A" w:rsidRDefault="00180D7A" w:rsidP="00F95980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80D7A" w:rsidRDefault="006F6BDD" w:rsidP="00F95980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 – 100,000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0D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180D7A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  <w:p w:rsidR="00180D7A" w:rsidRPr="000F3A00" w:rsidRDefault="003A5A89" w:rsidP="00F95980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 – </w:t>
            </w:r>
            <w:r w:rsidR="006F6BDD">
              <w:rPr>
                <w:rFonts w:ascii="Times New Roman" w:hAnsi="Times New Roman" w:cs="Times New Roman"/>
                <w:sz w:val="24"/>
                <w:szCs w:val="24"/>
              </w:rPr>
              <w:t>100,000 тыс</w:t>
            </w:r>
            <w:proofErr w:type="gramStart"/>
            <w:r w:rsidR="006F6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0D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180D7A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  <w:p w:rsidR="00EA7118" w:rsidRPr="000F3A00" w:rsidRDefault="00EA7118" w:rsidP="00EA7118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100,000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  <w:p w:rsidR="00EA7118" w:rsidRDefault="00EA7118" w:rsidP="00EA7118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 100,000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  <w:p w:rsidR="00EA7118" w:rsidRDefault="00EA7118" w:rsidP="00EA7118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100,000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  <w:p w:rsidR="00180D7A" w:rsidRPr="000F3A00" w:rsidRDefault="00180D7A" w:rsidP="00F95980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бюджет: </w:t>
            </w:r>
          </w:p>
          <w:p w:rsidR="00180D7A" w:rsidRDefault="00180D7A" w:rsidP="00F95980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80D7A" w:rsidRDefault="00B307E7" w:rsidP="00F95980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 – 247</w:t>
            </w:r>
            <w:r w:rsidR="00180D7A">
              <w:rPr>
                <w:rFonts w:ascii="Times New Roman" w:hAnsi="Times New Roman" w:cs="Times New Roman"/>
                <w:sz w:val="24"/>
                <w:szCs w:val="24"/>
              </w:rPr>
              <w:t>,000 тыс</w:t>
            </w:r>
            <w:proofErr w:type="gramStart"/>
            <w:r w:rsidR="00180D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180D7A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  <w:p w:rsidR="00180D7A" w:rsidRDefault="00B307E7" w:rsidP="00F95980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– 257</w:t>
            </w:r>
            <w:r w:rsidR="00180D7A">
              <w:rPr>
                <w:rFonts w:ascii="Times New Roman" w:hAnsi="Times New Roman" w:cs="Times New Roman"/>
                <w:sz w:val="24"/>
                <w:szCs w:val="24"/>
              </w:rPr>
              <w:t>,000 тыс</w:t>
            </w:r>
            <w:proofErr w:type="gramStart"/>
            <w:r w:rsidR="00180D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180D7A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  <w:p w:rsidR="00EA7118" w:rsidRPr="000F3A00" w:rsidRDefault="00EA7118" w:rsidP="00EA7118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257,000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  <w:p w:rsidR="00EA7118" w:rsidRPr="000F3A00" w:rsidRDefault="00EA7118" w:rsidP="00EA7118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 257,000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  <w:p w:rsidR="00EE2A64" w:rsidRPr="000F3A00" w:rsidRDefault="00EA7118" w:rsidP="00C958A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257,000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180D7A" w:rsidRPr="000F3A00" w:rsidTr="00F9598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D7A" w:rsidRPr="000F3A00" w:rsidRDefault="00180D7A" w:rsidP="00F959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 xml:space="preserve">Адрес размещения  подпрограммы в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D7A" w:rsidRPr="00677D77" w:rsidRDefault="00180D7A" w:rsidP="00F959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D77">
              <w:rPr>
                <w:rFonts w:ascii="Times New Roman" w:hAnsi="Times New Roman" w:cs="Times New Roman"/>
                <w:sz w:val="24"/>
                <w:szCs w:val="24"/>
              </w:rPr>
              <w:t>Shalya.ru</w:t>
            </w:r>
            <w:proofErr w:type="spellEnd"/>
          </w:p>
        </w:tc>
      </w:tr>
    </w:tbl>
    <w:p w:rsidR="00785588" w:rsidRPr="00785588" w:rsidRDefault="00785588" w:rsidP="0078558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78"/>
      <w:bookmarkStart w:id="2" w:name="Par119"/>
      <w:bookmarkStart w:id="3" w:name="Par124"/>
      <w:bookmarkEnd w:id="1"/>
      <w:bookmarkEnd w:id="2"/>
      <w:bookmarkEnd w:id="3"/>
      <w:r w:rsidRPr="00785588">
        <w:rPr>
          <w:rFonts w:ascii="Times New Roman" w:hAnsi="Times New Roman" w:cs="Times New Roman"/>
          <w:b/>
          <w:sz w:val="24"/>
          <w:szCs w:val="24"/>
        </w:rPr>
        <w:lastRenderedPageBreak/>
        <w:t>Раздел 1. Характеристика и анализ текущего состояния</w:t>
      </w:r>
    </w:p>
    <w:p w:rsidR="00785588" w:rsidRPr="00785588" w:rsidRDefault="00785588" w:rsidP="0078558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5588">
        <w:rPr>
          <w:rFonts w:ascii="Times New Roman" w:hAnsi="Times New Roman" w:cs="Times New Roman"/>
          <w:b/>
          <w:sz w:val="24"/>
          <w:szCs w:val="24"/>
        </w:rPr>
        <w:t>архивного дела на территории Шалинского городского округа</w:t>
      </w:r>
    </w:p>
    <w:p w:rsidR="00785588" w:rsidRPr="00785588" w:rsidRDefault="00785588" w:rsidP="00785588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785588">
        <w:rPr>
          <w:sz w:val="24"/>
          <w:szCs w:val="24"/>
        </w:rPr>
        <w:t xml:space="preserve">Данная Подпрограмма разработана в соответствии с нормативными актами: </w:t>
      </w:r>
    </w:p>
    <w:p w:rsidR="00785588" w:rsidRPr="00785588" w:rsidRDefault="00785588" w:rsidP="00785588">
      <w:pPr>
        <w:ind w:firstLine="539"/>
        <w:jc w:val="both"/>
        <w:rPr>
          <w:sz w:val="24"/>
          <w:szCs w:val="24"/>
        </w:rPr>
      </w:pPr>
      <w:r w:rsidRPr="00785588">
        <w:rPr>
          <w:sz w:val="24"/>
          <w:szCs w:val="24"/>
        </w:rPr>
        <w:t>а) статьей 29 Конституции Российской Федерации;</w:t>
      </w:r>
    </w:p>
    <w:p w:rsidR="00785588" w:rsidRPr="00785588" w:rsidRDefault="00785588" w:rsidP="007855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5588">
        <w:rPr>
          <w:rFonts w:ascii="Times New Roman" w:hAnsi="Times New Roman" w:cs="Times New Roman"/>
          <w:sz w:val="24"/>
          <w:szCs w:val="24"/>
        </w:rPr>
        <w:t>б) Федеральным законом от 22 октября 2004 года № 125-ФЗ "Об архивном деле в Российской Федерации";</w:t>
      </w:r>
    </w:p>
    <w:p w:rsidR="00785588" w:rsidRPr="00785588" w:rsidRDefault="00785588" w:rsidP="007855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5588">
        <w:rPr>
          <w:rFonts w:ascii="Times New Roman" w:hAnsi="Times New Roman" w:cs="Times New Roman"/>
          <w:sz w:val="24"/>
          <w:szCs w:val="24"/>
        </w:rPr>
        <w:t xml:space="preserve">в) Федеральным законом от 27 июля 2006 года № 149-ФЗ "Об информации, информационных технологиях и о защите информации" и от 22 октября 2004 год № 125-ФЗ "Об архивном деле в Российской Федерации"; </w:t>
      </w:r>
    </w:p>
    <w:p w:rsidR="00785588" w:rsidRPr="00785588" w:rsidRDefault="00785588" w:rsidP="00785588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85588">
        <w:rPr>
          <w:sz w:val="24"/>
          <w:szCs w:val="24"/>
        </w:rPr>
        <w:t>г) Приказом Федерального архивного агентства от 25.03.2013 № 21 «Об утверждении Плана мероприятий («дорожной карты») «Изменения в отраслях социальной сферы, направленные на повышение эффективности архивного дела»;</w:t>
      </w:r>
    </w:p>
    <w:p w:rsidR="00785588" w:rsidRPr="00785588" w:rsidRDefault="00785588" w:rsidP="00785588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spellStart"/>
      <w:r w:rsidRPr="00785588">
        <w:rPr>
          <w:sz w:val="24"/>
          <w:szCs w:val="24"/>
        </w:rPr>
        <w:t>д</w:t>
      </w:r>
      <w:proofErr w:type="spellEnd"/>
      <w:r w:rsidRPr="00785588">
        <w:rPr>
          <w:sz w:val="24"/>
          <w:szCs w:val="24"/>
        </w:rPr>
        <w:t>)  Постановлением Правительства Свердловской области от 03.09.2013 № 1087-ПП «Об утверждении Плана мероприятий («дорожной карты») «Изменения в отраслях социальной сферы, направленные на повышение эффективности архивного дела в Свердловской области».</w:t>
      </w:r>
    </w:p>
    <w:p w:rsidR="00785588" w:rsidRPr="00785588" w:rsidRDefault="00785588" w:rsidP="007855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588">
        <w:rPr>
          <w:rFonts w:ascii="Times New Roman" w:eastAsia="TimesNewRoman" w:hAnsi="Times New Roman" w:cs="Times New Roman"/>
          <w:sz w:val="24"/>
          <w:szCs w:val="24"/>
        </w:rPr>
        <w:t>2. Обеспечивая  вечное хранение и использование  архивных документов,  архив выполняет  социально важные функции по оказанию услуг, пополнению информационного ресурса государства и сохранению документальной памяти. Архивы служат не только живущим сегодня жителям России, но и будущим поколениям россиян. Поэтому, наряду с задачей сохранения уже находящихся в них документов на традиционных носителях, они должны быть готовы к приему и использованию приходящих им на смену новых носителей и форм документации.</w:t>
      </w:r>
    </w:p>
    <w:p w:rsidR="00785588" w:rsidRPr="00785588" w:rsidRDefault="006F4D16" w:rsidP="007855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C6397">
        <w:rPr>
          <w:rFonts w:ascii="Times New Roman" w:hAnsi="Times New Roman" w:cs="Times New Roman"/>
          <w:sz w:val="24"/>
          <w:szCs w:val="24"/>
        </w:rPr>
        <w:t xml:space="preserve"> По состоянию на 01.01.2018</w:t>
      </w:r>
      <w:r w:rsidR="00785588" w:rsidRPr="006C6397">
        <w:rPr>
          <w:rFonts w:ascii="Times New Roman" w:hAnsi="Times New Roman" w:cs="Times New Roman"/>
          <w:sz w:val="24"/>
          <w:szCs w:val="24"/>
        </w:rPr>
        <w:t xml:space="preserve"> Архивный фонд Шалинского го</w:t>
      </w:r>
      <w:r w:rsidRPr="006C6397">
        <w:rPr>
          <w:rFonts w:ascii="Times New Roman" w:hAnsi="Times New Roman" w:cs="Times New Roman"/>
          <w:sz w:val="24"/>
          <w:szCs w:val="24"/>
        </w:rPr>
        <w:t>родского округа насчитывает 30</w:t>
      </w:r>
      <w:r w:rsidR="00785588" w:rsidRPr="006C6397">
        <w:rPr>
          <w:rFonts w:ascii="Times New Roman" w:hAnsi="Times New Roman" w:cs="Times New Roman"/>
          <w:sz w:val="24"/>
          <w:szCs w:val="24"/>
        </w:rPr>
        <w:t>8</w:t>
      </w:r>
      <w:r w:rsidRPr="006C6397">
        <w:rPr>
          <w:rFonts w:ascii="Times New Roman" w:hAnsi="Times New Roman" w:cs="Times New Roman"/>
          <w:sz w:val="24"/>
          <w:szCs w:val="24"/>
        </w:rPr>
        <w:t>97</w:t>
      </w:r>
      <w:r w:rsidR="00785588" w:rsidRPr="006C6397">
        <w:rPr>
          <w:rFonts w:ascii="Times New Roman" w:hAnsi="Times New Roman" w:cs="Times New Roman"/>
          <w:sz w:val="24"/>
          <w:szCs w:val="24"/>
        </w:rPr>
        <w:t xml:space="preserve"> единиц хранения архивных документов. Из них управленческ</w:t>
      </w:r>
      <w:r w:rsidRPr="006C6397">
        <w:rPr>
          <w:rFonts w:ascii="Times New Roman" w:hAnsi="Times New Roman" w:cs="Times New Roman"/>
          <w:sz w:val="24"/>
          <w:szCs w:val="24"/>
        </w:rPr>
        <w:t>ой документации 17791 единиц хранения, 1276</w:t>
      </w:r>
      <w:r w:rsidR="00785588" w:rsidRPr="006C6397">
        <w:rPr>
          <w:rFonts w:ascii="Times New Roman" w:hAnsi="Times New Roman" w:cs="Times New Roman"/>
          <w:sz w:val="24"/>
          <w:szCs w:val="24"/>
        </w:rPr>
        <w:t>2 единиц хранения по личному составу, 12 единиц хранения документов личного происхождения, 331 единица хранения фотодокументов, 1 единица хране</w:t>
      </w:r>
      <w:r w:rsidR="00EA7118" w:rsidRPr="006C6397">
        <w:rPr>
          <w:rFonts w:ascii="Times New Roman" w:hAnsi="Times New Roman" w:cs="Times New Roman"/>
          <w:sz w:val="24"/>
          <w:szCs w:val="24"/>
        </w:rPr>
        <w:t>ния видеофонограммы  из них 4175</w:t>
      </w:r>
      <w:r w:rsidR="00785588" w:rsidRPr="006C6397">
        <w:rPr>
          <w:rFonts w:ascii="Times New Roman" w:hAnsi="Times New Roman" w:cs="Times New Roman"/>
          <w:sz w:val="24"/>
          <w:szCs w:val="24"/>
        </w:rPr>
        <w:t xml:space="preserve">  единиц хранения архивных документов относятся к государственной собственности Свердловской области.</w:t>
      </w:r>
    </w:p>
    <w:p w:rsidR="00785588" w:rsidRPr="00785588" w:rsidRDefault="00785588" w:rsidP="007855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588">
        <w:rPr>
          <w:rFonts w:ascii="Times New Roman" w:hAnsi="Times New Roman" w:cs="Times New Roman"/>
          <w:sz w:val="24"/>
          <w:szCs w:val="24"/>
        </w:rPr>
        <w:t>4. В течение последних лет достигнута положительная динамика роста трех показателей деятельности архива.  По показателю  «</w:t>
      </w:r>
      <w:r w:rsidR="00C4705A" w:rsidRPr="00785588">
        <w:rPr>
          <w:rFonts w:ascii="Times New Roman" w:hAnsi="Times New Roman" w:cs="Times New Roman"/>
          <w:sz w:val="24"/>
          <w:szCs w:val="24"/>
        </w:rPr>
        <w:t>выдача копий архивных документов</w:t>
      </w:r>
      <w:r w:rsidRPr="00785588">
        <w:rPr>
          <w:rFonts w:ascii="Times New Roman" w:hAnsi="Times New Roman" w:cs="Times New Roman"/>
          <w:sz w:val="24"/>
          <w:szCs w:val="24"/>
        </w:rPr>
        <w:t>»  прослеживаетс</w:t>
      </w:r>
      <w:r w:rsidR="00014ABE">
        <w:rPr>
          <w:rFonts w:ascii="Times New Roman" w:hAnsi="Times New Roman" w:cs="Times New Roman"/>
          <w:sz w:val="24"/>
          <w:szCs w:val="24"/>
        </w:rPr>
        <w:t>я уменьшение по сравнению с 2016</w:t>
      </w:r>
      <w:r w:rsidRPr="00785588">
        <w:rPr>
          <w:rFonts w:ascii="Times New Roman" w:hAnsi="Times New Roman" w:cs="Times New Roman"/>
          <w:sz w:val="24"/>
          <w:szCs w:val="24"/>
        </w:rPr>
        <w:t xml:space="preserve"> годом, а </w:t>
      </w:r>
      <w:r w:rsidR="00C4705A" w:rsidRPr="00785588">
        <w:rPr>
          <w:rFonts w:ascii="Times New Roman" w:hAnsi="Times New Roman" w:cs="Times New Roman"/>
          <w:sz w:val="24"/>
          <w:szCs w:val="24"/>
        </w:rPr>
        <w:t xml:space="preserve">социально-правовые запросы </w:t>
      </w:r>
      <w:r w:rsidRPr="00785588">
        <w:rPr>
          <w:rFonts w:ascii="Times New Roman" w:hAnsi="Times New Roman" w:cs="Times New Roman"/>
          <w:sz w:val="24"/>
          <w:szCs w:val="24"/>
        </w:rPr>
        <w:t>и тематические запросы возросли</w:t>
      </w:r>
      <w:r w:rsidR="00C4705A">
        <w:rPr>
          <w:rFonts w:ascii="Times New Roman" w:hAnsi="Times New Roman" w:cs="Times New Roman"/>
          <w:sz w:val="24"/>
          <w:szCs w:val="24"/>
        </w:rPr>
        <w:t>, а также увеличивается объем базы данных</w:t>
      </w:r>
      <w:r w:rsidRPr="00785588">
        <w:rPr>
          <w:rFonts w:ascii="Times New Roman" w:hAnsi="Times New Roman" w:cs="Times New Roman"/>
          <w:sz w:val="24"/>
          <w:szCs w:val="24"/>
        </w:rPr>
        <w:t>. Запросы по обращениям физических и юридических лиц в архиве исполняются в  установленные законодательством сроки, и является одним из показателей деятельности архива.</w:t>
      </w:r>
    </w:p>
    <w:p w:rsidR="00785588" w:rsidRPr="00785588" w:rsidRDefault="00785588" w:rsidP="007855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103"/>
        <w:gridCol w:w="1843"/>
        <w:gridCol w:w="1896"/>
      </w:tblGrid>
      <w:tr w:rsidR="00785588" w:rsidRPr="00785588" w:rsidTr="00785588">
        <w:trPr>
          <w:trHeight w:val="4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588" w:rsidRPr="00785588" w:rsidRDefault="007855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85588" w:rsidRPr="00785588" w:rsidRDefault="006C6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01.01.2016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85588" w:rsidRPr="00785588" w:rsidRDefault="006C6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01.01.2018</w:t>
            </w:r>
          </w:p>
        </w:tc>
      </w:tr>
      <w:tr w:rsidR="00785588" w:rsidRPr="00785588" w:rsidTr="00785588">
        <w:trPr>
          <w:trHeight w:val="55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85588" w:rsidRPr="00785588" w:rsidRDefault="00785588" w:rsidP="007855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8">
              <w:rPr>
                <w:rFonts w:ascii="Times New Roman" w:hAnsi="Times New Roman" w:cs="Times New Roman"/>
                <w:sz w:val="24"/>
                <w:szCs w:val="24"/>
              </w:rPr>
              <w:t>доля документов, включенных в базы данных (тематическая и по личному составу) (Мбайт)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85588" w:rsidRPr="00785588" w:rsidRDefault="006C6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588" w:rsidRPr="0078558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85588" w:rsidRPr="00785588" w:rsidRDefault="00C47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</w:tr>
      <w:tr w:rsidR="00785588" w:rsidRPr="00785588" w:rsidTr="007855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85588" w:rsidRPr="00785588" w:rsidRDefault="00785588" w:rsidP="007855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8">
              <w:rPr>
                <w:rFonts w:ascii="Times New Roman" w:hAnsi="Times New Roman" w:cs="Times New Roman"/>
                <w:sz w:val="24"/>
                <w:szCs w:val="24"/>
              </w:rPr>
              <w:t>доля закартонированных документов</w:t>
            </w:r>
            <w:proofErr w:type="gramStart"/>
            <w:r w:rsidRPr="0078558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85588" w:rsidRPr="00785588" w:rsidRDefault="006C6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85588" w:rsidRPr="00785588" w:rsidRDefault="007855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8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785588" w:rsidRPr="00785588" w:rsidTr="007855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85588" w:rsidRPr="00785588" w:rsidRDefault="00785588" w:rsidP="00C470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8">
              <w:rPr>
                <w:rFonts w:ascii="Times New Roman" w:hAnsi="Times New Roman" w:cs="Times New Roman"/>
                <w:sz w:val="24"/>
                <w:szCs w:val="24"/>
              </w:rPr>
              <w:t>исполнено тематических запросов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85588" w:rsidRPr="00785588" w:rsidRDefault="006C6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85588" w:rsidRPr="00785588" w:rsidRDefault="00C47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5588" w:rsidRPr="007855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5588" w:rsidRPr="00785588" w:rsidTr="007855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85588" w:rsidRPr="00785588" w:rsidRDefault="00785588" w:rsidP="007855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8">
              <w:rPr>
                <w:rFonts w:ascii="Times New Roman" w:hAnsi="Times New Roman" w:cs="Times New Roman"/>
                <w:sz w:val="24"/>
                <w:szCs w:val="24"/>
              </w:rPr>
              <w:t>исполнено социально-правовых запросов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85588" w:rsidRPr="00785588" w:rsidRDefault="006C6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85588" w:rsidRPr="00785588" w:rsidRDefault="00C47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</w:tr>
      <w:tr w:rsidR="00785588" w:rsidRPr="00785588" w:rsidTr="007855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85588" w:rsidRPr="00785588" w:rsidRDefault="00785588" w:rsidP="007855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8">
              <w:rPr>
                <w:rFonts w:ascii="Times New Roman" w:hAnsi="Times New Roman" w:cs="Times New Roman"/>
                <w:sz w:val="24"/>
                <w:szCs w:val="24"/>
              </w:rPr>
              <w:t>изготовлено архивных копий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85588" w:rsidRPr="00785588" w:rsidRDefault="006C6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85588" w:rsidRPr="00785588" w:rsidRDefault="007855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705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785588" w:rsidRPr="00785588" w:rsidRDefault="00785588" w:rsidP="0078558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588" w:rsidRPr="00785588" w:rsidRDefault="00785588" w:rsidP="0078558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588">
        <w:rPr>
          <w:rFonts w:ascii="Times New Roman" w:hAnsi="Times New Roman" w:cs="Times New Roman"/>
          <w:sz w:val="24"/>
          <w:szCs w:val="24"/>
        </w:rPr>
        <w:t xml:space="preserve">5. За последние годы созданы оптимальные противопожарные, охранные,  световые и санитарно-гигиенические условия  хранения архивных документов  в архивохранилищах №1, №2 и  рабочем помещении архива. Установлено оборудование: стеллажи, кондиционеры, охранно-пожарные сигнализации и приточно-вытяжная вентиляция, </w:t>
      </w:r>
      <w:r w:rsidRPr="00785588">
        <w:rPr>
          <w:rFonts w:ascii="Times New Roman" w:hAnsi="Times New Roman" w:cs="Times New Roman"/>
          <w:sz w:val="24"/>
          <w:szCs w:val="24"/>
        </w:rPr>
        <w:lastRenderedPageBreak/>
        <w:t xml:space="preserve">приобретены архивные коробки для документов, увлажнители воздуха,  создающие оптимальные условия, обеспечивающие физическую сохранность архивных документов в архивохранилищах. Указанное оборудование необходимо ежегодно обслуживать и содержать в рабочем состоянии. Понимая особую значимость пожарной безопасности,  архивохранилища №1 и №2 оборудованы современными системами охранно-пожарной сигнализации с модулями порошкового пожаротушения «Буран – 2,5-2С». </w:t>
      </w:r>
      <w:r w:rsidR="006D351D">
        <w:rPr>
          <w:rFonts w:ascii="Times New Roman" w:hAnsi="Times New Roman" w:cs="Times New Roman"/>
          <w:sz w:val="24"/>
          <w:szCs w:val="24"/>
        </w:rPr>
        <w:t>Установленное о</w:t>
      </w:r>
      <w:r w:rsidR="00996E29">
        <w:rPr>
          <w:rFonts w:ascii="Times New Roman" w:hAnsi="Times New Roman" w:cs="Times New Roman"/>
          <w:sz w:val="24"/>
          <w:szCs w:val="24"/>
        </w:rPr>
        <w:t xml:space="preserve">борудование архивохранилищ </w:t>
      </w:r>
      <w:r w:rsidR="000D266C">
        <w:rPr>
          <w:rFonts w:ascii="Times New Roman" w:hAnsi="Times New Roman" w:cs="Times New Roman"/>
          <w:sz w:val="24"/>
          <w:szCs w:val="24"/>
        </w:rPr>
        <w:t xml:space="preserve">планово </w:t>
      </w:r>
      <w:r w:rsidR="002A7F5D">
        <w:rPr>
          <w:rFonts w:ascii="Times New Roman" w:hAnsi="Times New Roman" w:cs="Times New Roman"/>
          <w:sz w:val="24"/>
          <w:szCs w:val="24"/>
        </w:rPr>
        <w:t>обслуживается техническими службами</w:t>
      </w:r>
      <w:r w:rsidR="00996E29">
        <w:rPr>
          <w:rFonts w:ascii="Times New Roman" w:hAnsi="Times New Roman" w:cs="Times New Roman"/>
          <w:sz w:val="24"/>
          <w:szCs w:val="24"/>
        </w:rPr>
        <w:t xml:space="preserve"> </w:t>
      </w:r>
      <w:r w:rsidR="000D266C">
        <w:rPr>
          <w:rFonts w:ascii="Times New Roman" w:hAnsi="Times New Roman" w:cs="Times New Roman"/>
          <w:sz w:val="24"/>
          <w:szCs w:val="24"/>
        </w:rPr>
        <w:t>для</w:t>
      </w:r>
      <w:r w:rsidR="00996E29">
        <w:rPr>
          <w:rFonts w:ascii="Times New Roman" w:hAnsi="Times New Roman" w:cs="Times New Roman"/>
          <w:sz w:val="24"/>
          <w:szCs w:val="24"/>
        </w:rPr>
        <w:t xml:space="preserve"> </w:t>
      </w:r>
      <w:r w:rsidR="000D266C">
        <w:rPr>
          <w:rFonts w:ascii="Times New Roman" w:hAnsi="Times New Roman" w:cs="Times New Roman"/>
          <w:sz w:val="24"/>
          <w:szCs w:val="24"/>
        </w:rPr>
        <w:t xml:space="preserve">его </w:t>
      </w:r>
      <w:r w:rsidR="00996E29">
        <w:rPr>
          <w:rFonts w:ascii="Times New Roman" w:hAnsi="Times New Roman" w:cs="Times New Roman"/>
          <w:sz w:val="24"/>
          <w:szCs w:val="24"/>
        </w:rPr>
        <w:t>регуляр</w:t>
      </w:r>
      <w:r w:rsidR="00A71FC4">
        <w:rPr>
          <w:rFonts w:ascii="Times New Roman" w:hAnsi="Times New Roman" w:cs="Times New Roman"/>
          <w:sz w:val="24"/>
          <w:szCs w:val="24"/>
        </w:rPr>
        <w:t>ной работы, что помогает  создавать и поддерживать оптимальные условия</w:t>
      </w:r>
      <w:r w:rsidR="00996E29">
        <w:rPr>
          <w:rFonts w:ascii="Times New Roman" w:hAnsi="Times New Roman" w:cs="Times New Roman"/>
          <w:sz w:val="24"/>
          <w:szCs w:val="24"/>
        </w:rPr>
        <w:t xml:space="preserve">  </w:t>
      </w:r>
      <w:r w:rsidR="00A71FC4">
        <w:rPr>
          <w:rFonts w:ascii="Times New Roman" w:hAnsi="Times New Roman" w:cs="Times New Roman"/>
          <w:sz w:val="24"/>
          <w:szCs w:val="24"/>
        </w:rPr>
        <w:t>для</w:t>
      </w:r>
      <w:r w:rsidR="00996E29" w:rsidRPr="00785588">
        <w:rPr>
          <w:rFonts w:ascii="Times New Roman" w:hAnsi="Times New Roman" w:cs="Times New Roman"/>
          <w:sz w:val="24"/>
          <w:szCs w:val="24"/>
        </w:rPr>
        <w:t xml:space="preserve">  хранения архивных документов</w:t>
      </w:r>
      <w:r w:rsidR="00996E29">
        <w:rPr>
          <w:rFonts w:ascii="Times New Roman" w:hAnsi="Times New Roman" w:cs="Times New Roman"/>
          <w:sz w:val="24"/>
          <w:szCs w:val="24"/>
        </w:rPr>
        <w:t>.</w:t>
      </w:r>
    </w:p>
    <w:p w:rsidR="007C095D" w:rsidRDefault="00785588" w:rsidP="007855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588">
        <w:rPr>
          <w:rFonts w:ascii="Times New Roman" w:hAnsi="Times New Roman" w:cs="Times New Roman"/>
          <w:sz w:val="24"/>
          <w:szCs w:val="24"/>
        </w:rPr>
        <w:t>6. Приоритетным направлением архива администрации является комплектование документами постоянного хранения от организаций источников комплектования. По состоянию</w:t>
      </w:r>
      <w:r w:rsidR="00332599">
        <w:rPr>
          <w:rFonts w:ascii="Times New Roman" w:hAnsi="Times New Roman" w:cs="Times New Roman"/>
          <w:sz w:val="24"/>
          <w:szCs w:val="24"/>
        </w:rPr>
        <w:t xml:space="preserve"> на 01.01.2018</w:t>
      </w:r>
      <w:r w:rsidRPr="00785588">
        <w:rPr>
          <w:rFonts w:ascii="Times New Roman" w:hAnsi="Times New Roman" w:cs="Times New Roman"/>
          <w:sz w:val="24"/>
          <w:szCs w:val="24"/>
        </w:rPr>
        <w:t xml:space="preserve"> источниками  комплектования архива являются 29 организаций муниципальной, государственной собственности. Документы этих организаций ежегодно пополняют Архивный фонд Шалинского городского округа.  Архивные документы постоянного срока хранения имеют социальное, экономическое и культурное значение и являются составной частью Архивного фонда Российской Федерации. </w:t>
      </w:r>
      <w:r w:rsidR="000712A4">
        <w:rPr>
          <w:rFonts w:ascii="Times New Roman" w:hAnsi="Times New Roman" w:cs="Times New Roman"/>
          <w:sz w:val="24"/>
          <w:szCs w:val="24"/>
        </w:rPr>
        <w:t>В новом помещении (архивохранилище) для хранения документов проведен  ремонт и установлена противопожарная дверь. В дальнейш</w:t>
      </w:r>
      <w:r w:rsidR="006D351D">
        <w:rPr>
          <w:rFonts w:ascii="Times New Roman" w:hAnsi="Times New Roman" w:cs="Times New Roman"/>
          <w:sz w:val="24"/>
          <w:szCs w:val="24"/>
        </w:rPr>
        <w:t>ем планируется  в новом</w:t>
      </w:r>
      <w:r w:rsidR="000712A4">
        <w:rPr>
          <w:rFonts w:ascii="Times New Roman" w:hAnsi="Times New Roman" w:cs="Times New Roman"/>
          <w:sz w:val="24"/>
          <w:szCs w:val="24"/>
        </w:rPr>
        <w:t xml:space="preserve"> архивохранилище создать</w:t>
      </w:r>
      <w:r w:rsidR="000712A4" w:rsidRPr="00785588">
        <w:rPr>
          <w:rFonts w:ascii="Times New Roman" w:hAnsi="Times New Roman" w:cs="Times New Roman"/>
          <w:sz w:val="24"/>
          <w:szCs w:val="24"/>
        </w:rPr>
        <w:t xml:space="preserve"> оптимальные противопожарные, охранные,  световые и санитарно-гигиенические условия  </w:t>
      </w:r>
      <w:r w:rsidR="006D351D">
        <w:rPr>
          <w:rFonts w:ascii="Times New Roman" w:hAnsi="Times New Roman" w:cs="Times New Roman"/>
          <w:sz w:val="24"/>
          <w:szCs w:val="24"/>
        </w:rPr>
        <w:t xml:space="preserve">для </w:t>
      </w:r>
      <w:r w:rsidR="000712A4" w:rsidRPr="00785588">
        <w:rPr>
          <w:rFonts w:ascii="Times New Roman" w:hAnsi="Times New Roman" w:cs="Times New Roman"/>
          <w:sz w:val="24"/>
          <w:szCs w:val="24"/>
        </w:rPr>
        <w:t>хранения архивных документов</w:t>
      </w:r>
      <w:r w:rsidR="000712A4">
        <w:rPr>
          <w:rFonts w:ascii="Times New Roman" w:hAnsi="Times New Roman" w:cs="Times New Roman"/>
          <w:sz w:val="24"/>
          <w:szCs w:val="24"/>
        </w:rPr>
        <w:t>.</w:t>
      </w:r>
    </w:p>
    <w:p w:rsidR="00785588" w:rsidRPr="00785588" w:rsidRDefault="00785588" w:rsidP="007855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588">
        <w:rPr>
          <w:rFonts w:ascii="Times New Roman" w:hAnsi="Times New Roman" w:cs="Times New Roman"/>
          <w:sz w:val="24"/>
          <w:szCs w:val="24"/>
        </w:rPr>
        <w:t>7. Состояние архивного дела на территории Шалинского городского округа определяется непрерывной концентрацией в архиве упорядоченных архивных документов от организаций и</w:t>
      </w:r>
      <w:r w:rsidR="000712A4">
        <w:rPr>
          <w:rFonts w:ascii="Times New Roman" w:hAnsi="Times New Roman" w:cs="Times New Roman"/>
          <w:sz w:val="24"/>
          <w:szCs w:val="24"/>
        </w:rPr>
        <w:t>сточников комплектования (в</w:t>
      </w:r>
      <w:r w:rsidR="00332599">
        <w:rPr>
          <w:rFonts w:ascii="Times New Roman" w:hAnsi="Times New Roman" w:cs="Times New Roman"/>
          <w:sz w:val="24"/>
          <w:szCs w:val="24"/>
        </w:rPr>
        <w:t xml:space="preserve"> </w:t>
      </w:r>
      <w:r w:rsidR="00332599" w:rsidRPr="00637C80">
        <w:rPr>
          <w:rFonts w:ascii="Times New Roman" w:hAnsi="Times New Roman" w:cs="Times New Roman"/>
          <w:sz w:val="24"/>
          <w:szCs w:val="24"/>
        </w:rPr>
        <w:t>2018</w:t>
      </w:r>
      <w:r w:rsidR="000069C4">
        <w:rPr>
          <w:rFonts w:ascii="Times New Roman" w:hAnsi="Times New Roman" w:cs="Times New Roman"/>
          <w:sz w:val="24"/>
          <w:szCs w:val="24"/>
        </w:rPr>
        <w:t xml:space="preserve"> год</w:t>
      </w:r>
      <w:r w:rsidR="000712A4">
        <w:rPr>
          <w:rFonts w:ascii="Times New Roman" w:hAnsi="Times New Roman" w:cs="Times New Roman"/>
          <w:sz w:val="24"/>
          <w:szCs w:val="24"/>
        </w:rPr>
        <w:t>у</w:t>
      </w:r>
      <w:r w:rsidR="00C02602">
        <w:rPr>
          <w:rFonts w:ascii="Times New Roman" w:hAnsi="Times New Roman" w:cs="Times New Roman"/>
          <w:sz w:val="24"/>
          <w:szCs w:val="24"/>
        </w:rPr>
        <w:t xml:space="preserve"> подготовлены </w:t>
      </w:r>
      <w:r w:rsidRPr="00785588">
        <w:rPr>
          <w:rFonts w:ascii="Times New Roman" w:hAnsi="Times New Roman" w:cs="Times New Roman"/>
          <w:sz w:val="24"/>
          <w:szCs w:val="24"/>
        </w:rPr>
        <w:t>к дальнейшему хранени</w:t>
      </w:r>
      <w:r w:rsidR="000069C4">
        <w:rPr>
          <w:rFonts w:ascii="Times New Roman" w:hAnsi="Times New Roman" w:cs="Times New Roman"/>
          <w:sz w:val="24"/>
          <w:szCs w:val="24"/>
        </w:rPr>
        <w:t xml:space="preserve">ю </w:t>
      </w:r>
      <w:r w:rsidR="00C02602">
        <w:rPr>
          <w:rFonts w:ascii="Times New Roman" w:hAnsi="Times New Roman" w:cs="Times New Roman"/>
          <w:sz w:val="24"/>
          <w:szCs w:val="24"/>
        </w:rPr>
        <w:t xml:space="preserve">и переданы </w:t>
      </w:r>
      <w:r w:rsidR="00637C80">
        <w:rPr>
          <w:rFonts w:ascii="Times New Roman" w:hAnsi="Times New Roman" w:cs="Times New Roman"/>
          <w:sz w:val="24"/>
          <w:szCs w:val="24"/>
        </w:rPr>
        <w:t>в архив 350</w:t>
      </w:r>
      <w:r w:rsidRPr="00785588">
        <w:rPr>
          <w:rFonts w:ascii="Times New Roman" w:hAnsi="Times New Roman" w:cs="Times New Roman"/>
          <w:sz w:val="24"/>
          <w:szCs w:val="24"/>
        </w:rPr>
        <w:t xml:space="preserve"> единиц хранения), а также документов по личному составу от организаций прошедшие процедуру ликвидации. В  архиве хранится значительная часть документов в неупорядоченном состоянии от </w:t>
      </w:r>
      <w:r w:rsidR="00996E29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785588">
        <w:rPr>
          <w:rFonts w:ascii="Times New Roman" w:hAnsi="Times New Roman" w:cs="Times New Roman"/>
          <w:sz w:val="24"/>
          <w:szCs w:val="24"/>
        </w:rPr>
        <w:t xml:space="preserve">ликвидированных организаций Шалинского района.  В отношении указанных документов  проводится процедура описания и поставки их на учёт. </w:t>
      </w:r>
    </w:p>
    <w:p w:rsidR="00785588" w:rsidRPr="00785588" w:rsidRDefault="00785588" w:rsidP="007855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588">
        <w:rPr>
          <w:rFonts w:ascii="Times New Roman" w:hAnsi="Times New Roman" w:cs="Times New Roman"/>
          <w:sz w:val="24"/>
          <w:szCs w:val="24"/>
        </w:rPr>
        <w:t xml:space="preserve">8. Архив администрации городского округа осуществляет в пределах своей компетенции организационно-методическое руководство по </w:t>
      </w:r>
      <w:r w:rsidR="000069C4">
        <w:rPr>
          <w:rFonts w:ascii="Times New Roman" w:hAnsi="Times New Roman" w:cs="Times New Roman"/>
          <w:sz w:val="24"/>
          <w:szCs w:val="24"/>
        </w:rPr>
        <w:t>упорядочиванию и описанию документов,</w:t>
      </w:r>
      <w:r w:rsidRPr="00785588">
        <w:rPr>
          <w:rFonts w:ascii="Times New Roman" w:hAnsi="Times New Roman" w:cs="Times New Roman"/>
          <w:sz w:val="24"/>
          <w:szCs w:val="24"/>
        </w:rPr>
        <w:t xml:space="preserve"> составлению номенклатур дел организаций. Проводятся индивидуальные консультации для специалистов и делопроизводителей организаций источников комплектования, физических и юридических лиц. </w:t>
      </w:r>
    </w:p>
    <w:p w:rsidR="00785588" w:rsidRPr="00785588" w:rsidRDefault="00C02602" w:rsidP="00C02602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85588" w:rsidRPr="00785588">
        <w:rPr>
          <w:rFonts w:ascii="Times New Roman" w:hAnsi="Times New Roman" w:cs="Times New Roman"/>
          <w:sz w:val="24"/>
          <w:szCs w:val="24"/>
        </w:rPr>
        <w:t>9. Архив администрации городского округа оказывает  три муниципальные услуги в сфере архивного дела:</w:t>
      </w:r>
    </w:p>
    <w:p w:rsidR="00785588" w:rsidRPr="00785588" w:rsidRDefault="00785588" w:rsidP="00785588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5588">
        <w:rPr>
          <w:rFonts w:ascii="Times New Roman" w:hAnsi="Times New Roman" w:cs="Times New Roman"/>
          <w:sz w:val="24"/>
          <w:szCs w:val="24"/>
        </w:rPr>
        <w:tab/>
        <w:t>1) Выдача копий архивных документов,   подтверждающих право на владение землей.</w:t>
      </w:r>
    </w:p>
    <w:p w:rsidR="00785588" w:rsidRPr="00785588" w:rsidRDefault="00785588" w:rsidP="00785588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5588">
        <w:rPr>
          <w:rFonts w:ascii="Times New Roman" w:hAnsi="Times New Roman" w:cs="Times New Roman"/>
          <w:sz w:val="24"/>
          <w:szCs w:val="24"/>
        </w:rPr>
        <w:tab/>
        <w:t>2) Информационное обеспечение граждан, организаций и общественных объединений  на основе документов Архивного фонда  Российской Федерации и других архивных документов.</w:t>
      </w:r>
    </w:p>
    <w:p w:rsidR="00785588" w:rsidRPr="00785588" w:rsidRDefault="00785588" w:rsidP="00785588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5588">
        <w:rPr>
          <w:rFonts w:ascii="Times New Roman" w:hAnsi="Times New Roman" w:cs="Times New Roman"/>
          <w:sz w:val="24"/>
          <w:szCs w:val="24"/>
        </w:rPr>
        <w:tab/>
        <w:t xml:space="preserve">3) Предоставление оформленных в установленном порядке 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    </w:t>
      </w:r>
    </w:p>
    <w:p w:rsidR="00785588" w:rsidRPr="00785588" w:rsidRDefault="00785588" w:rsidP="0078558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588">
        <w:rPr>
          <w:rFonts w:ascii="Times New Roman" w:hAnsi="Times New Roman" w:cs="Times New Roman"/>
          <w:sz w:val="24"/>
          <w:szCs w:val="24"/>
        </w:rPr>
        <w:t>10. Обеспечение единого информационного пространства, доступность к архивным документам достигается путем предоставления архивных документов через небольшой читальный зал. Также планируется путём  реализации подпрограммы «Развитие  архивного дела на территории Шали</w:t>
      </w:r>
      <w:r w:rsidR="00637C80">
        <w:rPr>
          <w:rFonts w:ascii="Times New Roman" w:hAnsi="Times New Roman" w:cs="Times New Roman"/>
          <w:sz w:val="24"/>
          <w:szCs w:val="24"/>
        </w:rPr>
        <w:t>нского городского округа на 2019-</w:t>
      </w:r>
      <w:r w:rsidR="006F4D16">
        <w:rPr>
          <w:rFonts w:ascii="Times New Roman" w:hAnsi="Times New Roman" w:cs="Times New Roman"/>
          <w:sz w:val="24"/>
          <w:szCs w:val="24"/>
        </w:rPr>
        <w:t>2023</w:t>
      </w:r>
      <w:r w:rsidR="00637C80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785588">
        <w:rPr>
          <w:rFonts w:ascii="Times New Roman" w:hAnsi="Times New Roman" w:cs="Times New Roman"/>
          <w:sz w:val="24"/>
          <w:szCs w:val="24"/>
        </w:rPr>
        <w:t>» провести оцифровку описей дел и архивных документов  государственной собственности Св</w:t>
      </w:r>
      <w:r w:rsidR="000D266C">
        <w:rPr>
          <w:rFonts w:ascii="Times New Roman" w:hAnsi="Times New Roman" w:cs="Times New Roman"/>
          <w:sz w:val="24"/>
          <w:szCs w:val="24"/>
        </w:rPr>
        <w:t>ердловской области в электронный вид</w:t>
      </w:r>
      <w:r w:rsidRPr="00785588">
        <w:rPr>
          <w:rFonts w:ascii="Times New Roman" w:hAnsi="Times New Roman" w:cs="Times New Roman"/>
          <w:sz w:val="24"/>
          <w:szCs w:val="24"/>
        </w:rPr>
        <w:t xml:space="preserve">. В результате, оцифрованные описи дел и архивные документы в электронном виде будут доступны пользователям. </w:t>
      </w:r>
      <w:r w:rsidR="003B3A5F">
        <w:rPr>
          <w:rFonts w:ascii="Times New Roman" w:hAnsi="Times New Roman" w:cs="Times New Roman"/>
          <w:sz w:val="24"/>
          <w:szCs w:val="24"/>
        </w:rPr>
        <w:t xml:space="preserve">Также в архиве оборудовано рабочее место для посетителей с базой данных оцифрованных документов, в дальнейшем планируем размещение информации на сайте администрации. </w:t>
      </w:r>
      <w:r w:rsidRPr="00785588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Pr="00785588">
        <w:rPr>
          <w:rFonts w:ascii="Times New Roman" w:hAnsi="Times New Roman" w:cs="Times New Roman"/>
          <w:sz w:val="24"/>
          <w:szCs w:val="24"/>
        </w:rPr>
        <w:lastRenderedPageBreak/>
        <w:t>данной подпрограммы</w:t>
      </w:r>
      <w:r w:rsidRPr="00785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588">
        <w:rPr>
          <w:rFonts w:ascii="Times New Roman" w:hAnsi="Times New Roman" w:cs="Times New Roman"/>
          <w:sz w:val="24"/>
          <w:szCs w:val="24"/>
        </w:rPr>
        <w:t xml:space="preserve">поможет через оцифрованные архивные документы, сохранить архивную информацию </w:t>
      </w:r>
      <w:r w:rsidR="000069C4">
        <w:rPr>
          <w:rFonts w:ascii="Times New Roman" w:eastAsia="TimesNewRoman" w:hAnsi="Times New Roman" w:cs="Times New Roman"/>
          <w:sz w:val="24"/>
          <w:szCs w:val="24"/>
        </w:rPr>
        <w:t>на новых носителях для  будущих поколений</w:t>
      </w:r>
      <w:r w:rsidRPr="00785588">
        <w:rPr>
          <w:rFonts w:ascii="Times New Roman" w:eastAsia="TimesNewRoman" w:hAnsi="Times New Roman" w:cs="Times New Roman"/>
          <w:sz w:val="24"/>
          <w:szCs w:val="24"/>
        </w:rPr>
        <w:t>.</w:t>
      </w:r>
      <w:r w:rsidRPr="007855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55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A5F" w:rsidRDefault="003B3A5F" w:rsidP="00180D7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80D7A" w:rsidRPr="00E60319" w:rsidRDefault="00180D7A" w:rsidP="00180D7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60319">
        <w:rPr>
          <w:b/>
          <w:sz w:val="24"/>
          <w:szCs w:val="24"/>
        </w:rPr>
        <w:t xml:space="preserve">Раздел 2.  Цели, задачи и целевые показатели реализации </w:t>
      </w:r>
    </w:p>
    <w:p w:rsidR="00180D7A" w:rsidRPr="00E60319" w:rsidRDefault="00180D7A" w:rsidP="00180D7A">
      <w:pPr>
        <w:jc w:val="center"/>
        <w:rPr>
          <w:b/>
          <w:sz w:val="24"/>
          <w:szCs w:val="24"/>
        </w:rPr>
      </w:pPr>
      <w:r w:rsidRPr="00E60319">
        <w:rPr>
          <w:b/>
          <w:sz w:val="24"/>
          <w:szCs w:val="24"/>
        </w:rPr>
        <w:t xml:space="preserve">подпрограммы  «Развитие архивного дела на территории </w:t>
      </w:r>
    </w:p>
    <w:p w:rsidR="00180D7A" w:rsidRPr="00E60319" w:rsidRDefault="00180D7A" w:rsidP="00180D7A">
      <w:pPr>
        <w:jc w:val="center"/>
        <w:rPr>
          <w:b/>
          <w:sz w:val="24"/>
          <w:szCs w:val="24"/>
        </w:rPr>
      </w:pPr>
      <w:r w:rsidRPr="00E60319">
        <w:rPr>
          <w:b/>
          <w:sz w:val="24"/>
          <w:szCs w:val="24"/>
        </w:rPr>
        <w:t>Шал</w:t>
      </w:r>
      <w:r w:rsidR="000069C4">
        <w:rPr>
          <w:b/>
          <w:sz w:val="24"/>
          <w:szCs w:val="24"/>
        </w:rPr>
        <w:t>инского городского округа на 2019-</w:t>
      </w:r>
      <w:r w:rsidR="007F0D33">
        <w:rPr>
          <w:b/>
          <w:sz w:val="24"/>
          <w:szCs w:val="24"/>
        </w:rPr>
        <w:t xml:space="preserve"> </w:t>
      </w:r>
      <w:r w:rsidRPr="00E60319">
        <w:rPr>
          <w:b/>
          <w:sz w:val="24"/>
          <w:szCs w:val="24"/>
        </w:rPr>
        <w:t>20</w:t>
      </w:r>
      <w:r w:rsidR="006F4D16">
        <w:rPr>
          <w:b/>
          <w:sz w:val="24"/>
          <w:szCs w:val="24"/>
        </w:rPr>
        <w:t>23</w:t>
      </w:r>
      <w:r w:rsidR="007F0D33">
        <w:rPr>
          <w:b/>
          <w:sz w:val="24"/>
          <w:szCs w:val="24"/>
        </w:rPr>
        <w:t xml:space="preserve"> </w:t>
      </w:r>
      <w:r w:rsidR="000069C4">
        <w:rPr>
          <w:b/>
          <w:sz w:val="24"/>
          <w:szCs w:val="24"/>
        </w:rPr>
        <w:t>годы</w:t>
      </w:r>
      <w:r w:rsidRPr="00E60319">
        <w:rPr>
          <w:b/>
          <w:sz w:val="24"/>
          <w:szCs w:val="24"/>
        </w:rPr>
        <w:t>»  муниципальной программы «Социально-экономическое развитие Шали</w:t>
      </w:r>
      <w:r w:rsidR="006F4D16">
        <w:rPr>
          <w:b/>
          <w:sz w:val="24"/>
          <w:szCs w:val="24"/>
        </w:rPr>
        <w:t>нского городского округа до 2023</w:t>
      </w:r>
      <w:r w:rsidRPr="00E60319">
        <w:rPr>
          <w:b/>
          <w:sz w:val="24"/>
          <w:szCs w:val="24"/>
        </w:rPr>
        <w:t xml:space="preserve"> года»</w:t>
      </w:r>
    </w:p>
    <w:p w:rsidR="00180D7A" w:rsidRPr="00E107AF" w:rsidRDefault="00180D7A" w:rsidP="00180D7A">
      <w:pPr>
        <w:jc w:val="center"/>
        <w:rPr>
          <w:sz w:val="24"/>
          <w:szCs w:val="24"/>
        </w:rPr>
      </w:pPr>
    </w:p>
    <w:p w:rsidR="00180D7A" w:rsidRPr="00E60319" w:rsidRDefault="00807E4D" w:rsidP="00180D7A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Цели,</w:t>
      </w:r>
      <w:r w:rsidR="00180D7A" w:rsidRPr="00E60319">
        <w:rPr>
          <w:sz w:val="24"/>
          <w:szCs w:val="24"/>
        </w:rPr>
        <w:t xml:space="preserve"> задачи и плановые значения целевых показателей подпрограммы</w:t>
      </w:r>
      <w:r w:rsidR="00180D7A">
        <w:rPr>
          <w:sz w:val="24"/>
          <w:szCs w:val="24"/>
        </w:rPr>
        <w:t xml:space="preserve"> приведены в приложении №</w:t>
      </w:r>
      <w:r w:rsidR="00180D7A" w:rsidRPr="00E60319">
        <w:rPr>
          <w:sz w:val="24"/>
          <w:szCs w:val="24"/>
        </w:rPr>
        <w:t>1 к подпрограмме «Развитие архивного дела на территории Шалинского город</w:t>
      </w:r>
      <w:r w:rsidR="00637C80">
        <w:rPr>
          <w:sz w:val="24"/>
          <w:szCs w:val="24"/>
        </w:rPr>
        <w:t>ского округа на 2019-</w:t>
      </w:r>
      <w:r w:rsidR="006F4D16">
        <w:rPr>
          <w:sz w:val="24"/>
          <w:szCs w:val="24"/>
        </w:rPr>
        <w:t>2023</w:t>
      </w:r>
      <w:r w:rsidR="00637C80">
        <w:rPr>
          <w:sz w:val="24"/>
          <w:szCs w:val="24"/>
        </w:rPr>
        <w:t xml:space="preserve"> годы</w:t>
      </w:r>
      <w:r w:rsidR="00180D7A" w:rsidRPr="00E60319">
        <w:rPr>
          <w:sz w:val="24"/>
          <w:szCs w:val="24"/>
        </w:rPr>
        <w:t>»</w:t>
      </w:r>
      <w:r w:rsidR="002D013F">
        <w:rPr>
          <w:sz w:val="24"/>
          <w:szCs w:val="24"/>
        </w:rPr>
        <w:t>.</w:t>
      </w:r>
    </w:p>
    <w:p w:rsidR="00180D7A" w:rsidRPr="00E60319" w:rsidRDefault="00180D7A" w:rsidP="00180D7A">
      <w:pPr>
        <w:ind w:firstLine="709"/>
        <w:jc w:val="both"/>
        <w:rPr>
          <w:sz w:val="24"/>
          <w:szCs w:val="24"/>
        </w:rPr>
      </w:pPr>
      <w:r w:rsidRPr="00E60319">
        <w:rPr>
          <w:sz w:val="24"/>
          <w:szCs w:val="24"/>
        </w:rPr>
        <w:t xml:space="preserve">Эффективность реализации Подпрограммы, оценка достижения целей, выполнения задач и мероприятий Подпрограммы оценивается целевыми показателями, которые приведены в Приложении 1 к настоящей Подпрограмме. </w:t>
      </w:r>
    </w:p>
    <w:p w:rsidR="00180D7A" w:rsidRPr="00E60319" w:rsidRDefault="00180D7A" w:rsidP="00180D7A">
      <w:pPr>
        <w:ind w:firstLine="709"/>
        <w:jc w:val="both"/>
        <w:rPr>
          <w:b/>
          <w:sz w:val="24"/>
          <w:szCs w:val="24"/>
        </w:rPr>
      </w:pPr>
      <w:r w:rsidRPr="00E60319">
        <w:rPr>
          <w:sz w:val="24"/>
          <w:szCs w:val="24"/>
        </w:rPr>
        <w:t>Значения целевых показателей и индикаторов ежегодно уточняются с учетом выделяемых на реализацию Подпрограммы финансовых средств.</w:t>
      </w:r>
    </w:p>
    <w:p w:rsidR="00180D7A" w:rsidRDefault="00180D7A" w:rsidP="00180D7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80D7A" w:rsidRDefault="00180D7A" w:rsidP="00180D7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60319">
        <w:rPr>
          <w:rFonts w:ascii="Times New Roman" w:hAnsi="Times New Roman" w:cs="Times New Roman"/>
          <w:b/>
          <w:sz w:val="24"/>
          <w:szCs w:val="24"/>
        </w:rPr>
        <w:t xml:space="preserve">Раздел 3. План мероприятий по выполнению подпрограммы </w:t>
      </w:r>
    </w:p>
    <w:p w:rsidR="00B37C7E" w:rsidRPr="00E60319" w:rsidRDefault="00B37C7E" w:rsidP="00180D7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80D7A" w:rsidRPr="0045499E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подп</w:t>
      </w:r>
      <w:r w:rsidRPr="0045499E">
        <w:rPr>
          <w:rFonts w:ascii="Times New Roman" w:hAnsi="Times New Roman" w:cs="Times New Roman"/>
          <w:sz w:val="24"/>
          <w:szCs w:val="24"/>
        </w:rPr>
        <w:t>рограммы осуществляется з</w:t>
      </w:r>
      <w:r>
        <w:rPr>
          <w:rFonts w:ascii="Times New Roman" w:hAnsi="Times New Roman" w:cs="Times New Roman"/>
          <w:sz w:val="24"/>
          <w:szCs w:val="24"/>
        </w:rPr>
        <w:t>а счет средств бюджета Шалин</w:t>
      </w:r>
      <w:r w:rsidRPr="0045499E">
        <w:rPr>
          <w:rFonts w:ascii="Times New Roman" w:hAnsi="Times New Roman" w:cs="Times New Roman"/>
          <w:sz w:val="24"/>
          <w:szCs w:val="24"/>
        </w:rPr>
        <w:t>ского городского округа и бюджета Свердловской области.</w:t>
      </w:r>
    </w:p>
    <w:p w:rsidR="00180D7A" w:rsidRPr="0045499E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99E">
        <w:rPr>
          <w:rFonts w:ascii="Times New Roman" w:hAnsi="Times New Roman" w:cs="Times New Roman"/>
          <w:sz w:val="24"/>
          <w:szCs w:val="24"/>
        </w:rPr>
        <w:t>Исполнителем мероприятий подпрограммы является архив администрации Шалинского городского округа.</w:t>
      </w:r>
    </w:p>
    <w:p w:rsidR="00180D7A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DE6">
        <w:rPr>
          <w:rFonts w:ascii="Times New Roman" w:hAnsi="Times New Roman" w:cs="Times New Roman"/>
          <w:sz w:val="24"/>
          <w:szCs w:val="24"/>
        </w:rPr>
        <w:t>План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по выполнению подп</w:t>
      </w:r>
      <w:r w:rsidRPr="0045499E">
        <w:rPr>
          <w:rFonts w:ascii="Times New Roman" w:hAnsi="Times New Roman" w:cs="Times New Roman"/>
          <w:sz w:val="24"/>
          <w:szCs w:val="24"/>
        </w:rPr>
        <w:t>рограм</w:t>
      </w:r>
      <w:r>
        <w:rPr>
          <w:rFonts w:ascii="Times New Roman" w:hAnsi="Times New Roman" w:cs="Times New Roman"/>
          <w:sz w:val="24"/>
          <w:szCs w:val="24"/>
        </w:rPr>
        <w:t xml:space="preserve">мы приведен в приложении № </w:t>
      </w:r>
      <w:r w:rsidRPr="0045499E">
        <w:rPr>
          <w:rFonts w:ascii="Times New Roman" w:hAnsi="Times New Roman" w:cs="Times New Roman"/>
          <w:sz w:val="24"/>
          <w:szCs w:val="24"/>
        </w:rPr>
        <w:t>2 к подпрограмме.</w:t>
      </w:r>
    </w:p>
    <w:p w:rsidR="00180D7A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D7A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D7A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D7A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D7A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D7A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D7A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D7A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D7A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D7A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D7A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D7A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D7A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D7A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D7A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D7A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D7A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D7A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D7A" w:rsidRDefault="00180D7A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986" w:rsidRDefault="00662986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986" w:rsidRDefault="00662986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986" w:rsidRDefault="00662986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986" w:rsidRDefault="00662986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986" w:rsidRDefault="00662986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986" w:rsidRDefault="00662986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986" w:rsidRDefault="00662986" w:rsidP="00180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1AC3" w:rsidRDefault="00EB4E4E" w:rsidP="00EB4E4E">
      <w:pPr>
        <w:pStyle w:val="ConsPlusTitle"/>
        <w:widowControl/>
        <w:ind w:left="5245" w:right="-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</w:p>
    <w:p w:rsidR="00C4705A" w:rsidRDefault="0064405F" w:rsidP="006D351D">
      <w:pPr>
        <w:pStyle w:val="ConsPlusTitle"/>
        <w:widowControl/>
        <w:ind w:left="5245" w:right="-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</w:t>
      </w:r>
    </w:p>
    <w:p w:rsidR="00937883" w:rsidRDefault="00937883" w:rsidP="00937883">
      <w:pPr>
        <w:pStyle w:val="ConsPlusTitle"/>
        <w:widowControl/>
        <w:ind w:left="5245" w:right="-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                               Приложение № 1</w:t>
      </w:r>
    </w:p>
    <w:p w:rsidR="00937883" w:rsidRDefault="00937883" w:rsidP="00937883">
      <w:pPr>
        <w:pStyle w:val="ConsPlusNormal"/>
        <w:ind w:right="-1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подпрограмме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883" w:rsidRDefault="00937883" w:rsidP="00937883">
      <w:pPr>
        <w:pStyle w:val="ConsPlusNormal"/>
        <w:ind w:right="-1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"Развитие архивного дела на территории </w:t>
      </w:r>
    </w:p>
    <w:p w:rsidR="00937883" w:rsidRDefault="00937883" w:rsidP="00937883">
      <w:pPr>
        <w:pStyle w:val="ConsPlusNormal"/>
        <w:ind w:right="-1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</w:t>
      </w:r>
    </w:p>
    <w:p w:rsidR="00937883" w:rsidRDefault="00937883" w:rsidP="00937883">
      <w:pPr>
        <w:pStyle w:val="ConsPlusNormal"/>
        <w:ind w:right="-1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2019-2023 годы"</w:t>
      </w:r>
    </w:p>
    <w:p w:rsidR="00937883" w:rsidRDefault="00937883" w:rsidP="00937883">
      <w:pPr>
        <w:pStyle w:val="ConsPlusNormal"/>
        <w:ind w:right="-1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7883" w:rsidRDefault="00937883" w:rsidP="009378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Цели, задачи, целевые показатели </w:t>
      </w:r>
    </w:p>
    <w:p w:rsidR="00937883" w:rsidRDefault="00937883" w:rsidP="009378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реализации подпрограммы «Развитие архивного дела на территории </w:t>
      </w:r>
    </w:p>
    <w:p w:rsidR="00937883" w:rsidRDefault="00937883" w:rsidP="009378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Шалинского городского округа на 2019-2023 годы»</w:t>
      </w:r>
    </w:p>
    <w:p w:rsidR="00937883" w:rsidRDefault="00937883" w:rsidP="00937883">
      <w:pPr>
        <w:jc w:val="center"/>
        <w:rPr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977"/>
        <w:gridCol w:w="709"/>
        <w:gridCol w:w="850"/>
        <w:gridCol w:w="851"/>
        <w:gridCol w:w="850"/>
        <w:gridCol w:w="851"/>
        <w:gridCol w:w="850"/>
        <w:gridCol w:w="1134"/>
      </w:tblGrid>
      <w:tr w:rsidR="00937883" w:rsidTr="00C0460C">
        <w:trPr>
          <w:trHeight w:val="3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r>
              <w:t>№</w:t>
            </w:r>
          </w:p>
          <w:p w:rsidR="00937883" w:rsidRDefault="00937883" w:rsidP="00937883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jc w:val="center"/>
            </w:pPr>
          </w:p>
          <w:p w:rsidR="00937883" w:rsidRDefault="00937883" w:rsidP="00937883">
            <w:pPr>
              <w:jc w:val="center"/>
            </w:pPr>
            <w:r>
              <w:t>Наименование цели (целей) и</w:t>
            </w:r>
          </w:p>
          <w:p w:rsidR="00937883" w:rsidRDefault="00937883" w:rsidP="00937883">
            <w:pPr>
              <w:jc w:val="center"/>
            </w:pPr>
            <w:r>
              <w:t xml:space="preserve"> задач, целевых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jc w:val="center"/>
            </w:pPr>
          </w:p>
          <w:p w:rsidR="00937883" w:rsidRDefault="00C0460C" w:rsidP="00937883">
            <w:pPr>
              <w:jc w:val="center"/>
            </w:pPr>
            <w:r>
              <w:t>Едини</w:t>
            </w:r>
            <w:r w:rsidR="00937883">
              <w:t xml:space="preserve">ца </w:t>
            </w:r>
            <w:proofErr w:type="spellStart"/>
            <w:r w:rsidR="00937883">
              <w:t>измере</w:t>
            </w:r>
            <w:proofErr w:type="spellEnd"/>
          </w:p>
          <w:p w:rsidR="00937883" w:rsidRDefault="00937883" w:rsidP="00937883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jc w:val="center"/>
            </w:pPr>
            <w:r>
              <w:t>Значение   целевого  показателя реализации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jc w:val="center"/>
            </w:pPr>
          </w:p>
          <w:p w:rsidR="00937883" w:rsidRDefault="00937883" w:rsidP="00937883">
            <w:pPr>
              <w:jc w:val="center"/>
            </w:pPr>
            <w:r>
              <w:t xml:space="preserve">Источник </w:t>
            </w:r>
          </w:p>
          <w:p w:rsidR="00937883" w:rsidRDefault="00937883" w:rsidP="00937883">
            <w:pPr>
              <w:jc w:val="center"/>
            </w:pPr>
            <w:r>
              <w:t>значений</w:t>
            </w:r>
          </w:p>
          <w:p w:rsidR="006A51D3" w:rsidRDefault="00937883" w:rsidP="00937883">
            <w:pPr>
              <w:jc w:val="center"/>
            </w:pPr>
            <w:r>
              <w:t>показа</w:t>
            </w:r>
          </w:p>
          <w:p w:rsidR="00937883" w:rsidRDefault="00937883" w:rsidP="00937883">
            <w:pPr>
              <w:jc w:val="center"/>
            </w:pPr>
            <w:proofErr w:type="spellStart"/>
            <w:r>
              <w:t>телей</w:t>
            </w:r>
            <w:proofErr w:type="spellEnd"/>
          </w:p>
        </w:tc>
      </w:tr>
      <w:tr w:rsidR="00937883" w:rsidTr="00C0460C">
        <w:trPr>
          <w:trHeight w:val="1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83" w:rsidRDefault="00937883" w:rsidP="00937883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83" w:rsidRDefault="00937883" w:rsidP="00937883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83" w:rsidRDefault="00937883" w:rsidP="0093788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jc w:val="center"/>
            </w:pPr>
            <w:r>
              <w:t>по итогам</w:t>
            </w:r>
          </w:p>
          <w:p w:rsidR="00937883" w:rsidRDefault="003D1F7C" w:rsidP="00937883">
            <w:pPr>
              <w:jc w:val="center"/>
            </w:pPr>
            <w:r>
              <w:t>2019</w:t>
            </w:r>
          </w:p>
          <w:p w:rsidR="00937883" w:rsidRDefault="00937883" w:rsidP="00937883">
            <w:pPr>
              <w:jc w:val="center"/>
            </w:pPr>
            <w: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</w:pPr>
            <w:r>
              <w:t>по итогам</w:t>
            </w:r>
          </w:p>
          <w:p w:rsidR="00937883" w:rsidRDefault="003D1F7C" w:rsidP="00937883">
            <w:pPr>
              <w:jc w:val="center"/>
            </w:pPr>
            <w:r>
              <w:t>2020</w:t>
            </w:r>
          </w:p>
          <w:p w:rsidR="00937883" w:rsidRDefault="00937883" w:rsidP="00937883">
            <w:pPr>
              <w:jc w:val="center"/>
            </w:pPr>
            <w: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</w:pPr>
            <w:r>
              <w:t xml:space="preserve">по </w:t>
            </w:r>
          </w:p>
          <w:p w:rsidR="00937883" w:rsidRDefault="00937883" w:rsidP="00937883">
            <w:pPr>
              <w:jc w:val="center"/>
            </w:pPr>
            <w:r>
              <w:t>итогам</w:t>
            </w:r>
          </w:p>
          <w:p w:rsidR="00937883" w:rsidRDefault="003D1F7C" w:rsidP="00937883">
            <w:pPr>
              <w:jc w:val="center"/>
            </w:pPr>
            <w:r>
              <w:t>20</w:t>
            </w:r>
            <w:r w:rsidR="00A8045B">
              <w:t>21</w:t>
            </w:r>
            <w:r w:rsidR="00937883">
              <w:t xml:space="preserve"> </w:t>
            </w:r>
          </w:p>
          <w:p w:rsidR="00937883" w:rsidRDefault="00937883" w:rsidP="00937883">
            <w:pPr>
              <w:jc w:val="center"/>
            </w:pPr>
            <w:r>
              <w:t>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</w:pPr>
            <w:r>
              <w:t xml:space="preserve">по </w:t>
            </w:r>
          </w:p>
          <w:p w:rsidR="00937883" w:rsidRDefault="00937883" w:rsidP="00937883">
            <w:pPr>
              <w:jc w:val="center"/>
            </w:pPr>
            <w:r>
              <w:t>итогам</w:t>
            </w:r>
          </w:p>
          <w:p w:rsidR="00937883" w:rsidRDefault="00937883" w:rsidP="00937883">
            <w:pPr>
              <w:jc w:val="center"/>
            </w:pPr>
            <w:r>
              <w:t>20</w:t>
            </w:r>
            <w:r w:rsidR="00A8045B">
              <w:t>22</w:t>
            </w:r>
            <w:r>
              <w:t xml:space="preserve"> </w:t>
            </w:r>
          </w:p>
          <w:p w:rsidR="00937883" w:rsidRDefault="00937883" w:rsidP="00937883">
            <w:pPr>
              <w:jc w:val="center"/>
            </w:pPr>
            <w:r>
              <w:t>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</w:pPr>
            <w:r>
              <w:t xml:space="preserve">по </w:t>
            </w:r>
          </w:p>
          <w:p w:rsidR="00937883" w:rsidRDefault="00937883" w:rsidP="00937883">
            <w:pPr>
              <w:jc w:val="center"/>
            </w:pPr>
            <w:r>
              <w:t>итогам</w:t>
            </w:r>
          </w:p>
          <w:p w:rsidR="00937883" w:rsidRDefault="00937883" w:rsidP="00937883">
            <w:pPr>
              <w:jc w:val="center"/>
            </w:pPr>
            <w:r>
              <w:t>20</w:t>
            </w:r>
            <w:r w:rsidR="00A8045B">
              <w:t>23</w:t>
            </w:r>
            <w:r>
              <w:t xml:space="preserve"> </w:t>
            </w:r>
          </w:p>
          <w:p w:rsidR="00937883" w:rsidRDefault="00937883" w:rsidP="00937883">
            <w:pPr>
              <w:jc w:val="center"/>
            </w:pPr>
            <w:r>
              <w:t>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83" w:rsidRDefault="00937883" w:rsidP="00937883"/>
        </w:tc>
      </w:tr>
      <w:tr w:rsidR="00937883" w:rsidTr="00C0460C">
        <w:trPr>
          <w:trHeight w:val="2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</w:pPr>
            <w:r>
              <w:t>9</w:t>
            </w:r>
          </w:p>
        </w:tc>
      </w:tr>
      <w:tr w:rsidR="00937883" w:rsidTr="00C0460C">
        <w:trPr>
          <w:cantSplit/>
          <w:trHeight w:val="1928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7883" w:rsidRDefault="00937883" w:rsidP="00937883">
            <w:pPr>
              <w:pStyle w:val="ConsPlusNormal"/>
              <w:ind w:left="-158" w:firstLine="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7883" w:rsidRDefault="00937883" w:rsidP="00937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оптимальных условий, обеспечивающих физическую сохранность архивных документов </w:t>
            </w:r>
          </w:p>
          <w:p w:rsidR="00937883" w:rsidRDefault="00937883" w:rsidP="00937883">
            <w:r>
              <w:rPr>
                <w:sz w:val="24"/>
                <w:szCs w:val="24"/>
              </w:rPr>
              <w:t>Техническое обслуживание и установка пожарных сигнализации: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еди</w:t>
            </w:r>
            <w:proofErr w:type="spellEnd"/>
            <w:r>
              <w:t>-</w:t>
            </w: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ниц</w:t>
            </w: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7883" w:rsidRPr="006A51D3" w:rsidRDefault="00937883" w:rsidP="0093788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A51D3">
              <w:t>Админист</w:t>
            </w:r>
            <w:proofErr w:type="spellEnd"/>
            <w:r w:rsidRPr="006A51D3">
              <w:t>-</w:t>
            </w:r>
          </w:p>
          <w:p w:rsidR="00937883" w:rsidRPr="006A51D3" w:rsidRDefault="00937883" w:rsidP="00937883">
            <w:pPr>
              <w:widowControl w:val="0"/>
              <w:autoSpaceDE w:val="0"/>
              <w:autoSpaceDN w:val="0"/>
              <w:adjustRightInd w:val="0"/>
            </w:pPr>
            <w:r w:rsidRPr="006A51D3">
              <w:t xml:space="preserve">рация </w:t>
            </w:r>
            <w:proofErr w:type="spellStart"/>
            <w:proofErr w:type="gramStart"/>
            <w:r w:rsidRPr="006A51D3">
              <w:t>Шалинс</w:t>
            </w:r>
            <w:r w:rsidR="00F43CE4">
              <w:t>-</w:t>
            </w:r>
            <w:r w:rsidRPr="006A51D3">
              <w:t>кого</w:t>
            </w:r>
            <w:proofErr w:type="spellEnd"/>
            <w:proofErr w:type="gramEnd"/>
          </w:p>
          <w:p w:rsidR="00937883" w:rsidRPr="006A51D3" w:rsidRDefault="00937883" w:rsidP="00937883">
            <w:pPr>
              <w:widowControl w:val="0"/>
              <w:autoSpaceDE w:val="0"/>
              <w:autoSpaceDN w:val="0"/>
              <w:adjustRightInd w:val="0"/>
            </w:pPr>
            <w:r w:rsidRPr="006A51D3">
              <w:t>городского</w:t>
            </w:r>
          </w:p>
          <w:p w:rsidR="00937883" w:rsidRPr="006A51D3" w:rsidRDefault="00937883" w:rsidP="00937883">
            <w:pPr>
              <w:widowControl w:val="0"/>
              <w:autoSpaceDE w:val="0"/>
              <w:autoSpaceDN w:val="0"/>
              <w:adjustRightInd w:val="0"/>
            </w:pPr>
            <w:r w:rsidRPr="006A51D3">
              <w:t>округа</w:t>
            </w:r>
          </w:p>
        </w:tc>
      </w:tr>
      <w:tr w:rsidR="00937883" w:rsidTr="00C0460C">
        <w:trPr>
          <w:cantSplit/>
          <w:trHeight w:val="303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7883" w:rsidRDefault="00937883" w:rsidP="00937883">
            <w:pPr>
              <w:pStyle w:val="ConsPlusNormal"/>
              <w:ind w:left="-158"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7883" w:rsidRDefault="00937883" w:rsidP="00937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кондиционеров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7883" w:rsidRPr="006A51D3" w:rsidRDefault="00937883" w:rsidP="009378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37883" w:rsidTr="00C0460C">
        <w:trPr>
          <w:cantSplit/>
          <w:trHeight w:val="54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7883" w:rsidRDefault="00937883" w:rsidP="00937883">
            <w:pPr>
              <w:pStyle w:val="ConsPlusNormal"/>
              <w:ind w:left="-158"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7883" w:rsidRDefault="00937883" w:rsidP="00937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охранно-пожарных сигнализаций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7883" w:rsidRPr="006A51D3" w:rsidRDefault="00937883" w:rsidP="009378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37883" w:rsidTr="00C0460C">
        <w:trPr>
          <w:cantSplit/>
          <w:trHeight w:val="551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7883" w:rsidRDefault="00937883" w:rsidP="00937883">
            <w:pPr>
              <w:pStyle w:val="ConsPlusNormal"/>
              <w:ind w:left="-158"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7883" w:rsidRDefault="00937883" w:rsidP="00937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приточно-вытяжной вентиляции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7883" w:rsidRPr="006A51D3" w:rsidRDefault="00937883" w:rsidP="009378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37883" w:rsidTr="00C0460C">
        <w:trPr>
          <w:cantSplit/>
          <w:trHeight w:val="112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83" w:rsidRDefault="00937883" w:rsidP="00937883">
            <w:pPr>
              <w:pStyle w:val="ConsPlusNormal"/>
              <w:ind w:left="-158"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83" w:rsidRDefault="00937883" w:rsidP="00937883">
            <w:pPr>
              <w:pStyle w:val="ConsPlusNormal"/>
              <w:ind w:left="-158" w:firstLine="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7883" w:rsidRDefault="00937883" w:rsidP="00937883">
            <w:r>
              <w:rPr>
                <w:sz w:val="24"/>
                <w:szCs w:val="24"/>
              </w:rPr>
              <w:t>Ремонтные работы помещений архива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7883" w:rsidRPr="008563F9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63F9">
              <w:t>кв.м.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7883" w:rsidRDefault="00937883" w:rsidP="00937883">
            <w:pPr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83" w:rsidRDefault="00937883" w:rsidP="00937883">
            <w:pPr>
              <w:jc w:val="center"/>
              <w:rPr>
                <w:sz w:val="22"/>
                <w:szCs w:val="22"/>
              </w:rPr>
            </w:pPr>
          </w:p>
          <w:p w:rsidR="00937883" w:rsidRDefault="003D1F7C" w:rsidP="00937883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7883" w:rsidRDefault="001518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7883" w:rsidRDefault="0093788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7883" w:rsidRPr="006A51D3" w:rsidRDefault="00937883" w:rsidP="0093788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A51D3">
              <w:t>Админист</w:t>
            </w:r>
            <w:proofErr w:type="spellEnd"/>
            <w:r w:rsidRPr="006A51D3">
              <w:t>-</w:t>
            </w:r>
          </w:p>
          <w:p w:rsidR="00937883" w:rsidRPr="006A51D3" w:rsidRDefault="00937883" w:rsidP="00937883">
            <w:pPr>
              <w:widowControl w:val="0"/>
              <w:autoSpaceDE w:val="0"/>
              <w:autoSpaceDN w:val="0"/>
              <w:adjustRightInd w:val="0"/>
            </w:pPr>
            <w:r w:rsidRPr="006A51D3">
              <w:t xml:space="preserve">рация </w:t>
            </w:r>
          </w:p>
          <w:p w:rsidR="00937883" w:rsidRPr="006A51D3" w:rsidRDefault="00937883" w:rsidP="00937883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6A51D3">
              <w:t>Шалинс</w:t>
            </w:r>
            <w:r w:rsidR="00F43CE4">
              <w:t>-</w:t>
            </w:r>
            <w:r w:rsidRPr="006A51D3">
              <w:t>кого</w:t>
            </w:r>
            <w:proofErr w:type="spellEnd"/>
            <w:proofErr w:type="gramEnd"/>
          </w:p>
          <w:p w:rsidR="00937883" w:rsidRPr="006A51D3" w:rsidRDefault="00937883" w:rsidP="00937883">
            <w:pPr>
              <w:widowControl w:val="0"/>
              <w:autoSpaceDE w:val="0"/>
              <w:autoSpaceDN w:val="0"/>
              <w:adjustRightInd w:val="0"/>
            </w:pPr>
            <w:r w:rsidRPr="006A51D3">
              <w:t>городского</w:t>
            </w:r>
          </w:p>
          <w:p w:rsidR="00937883" w:rsidRPr="006A51D3" w:rsidRDefault="00937883" w:rsidP="00937883">
            <w:pPr>
              <w:widowControl w:val="0"/>
              <w:autoSpaceDE w:val="0"/>
              <w:autoSpaceDN w:val="0"/>
              <w:adjustRightInd w:val="0"/>
            </w:pPr>
            <w:r w:rsidRPr="006A51D3">
              <w:t>округа</w:t>
            </w:r>
          </w:p>
        </w:tc>
      </w:tr>
      <w:tr w:rsidR="003D1F7C" w:rsidTr="00C0460C">
        <w:trPr>
          <w:cantSplit/>
          <w:trHeight w:val="35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F7C" w:rsidRDefault="003D1F7C" w:rsidP="00937883">
            <w:pPr>
              <w:pStyle w:val="ConsPlusNormal"/>
              <w:ind w:left="-158"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F7C" w:rsidRDefault="003D1F7C" w:rsidP="00937883">
            <w:pPr>
              <w:pStyle w:val="ConsPlusNormal"/>
              <w:ind w:left="-158" w:firstLine="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F7C" w:rsidRDefault="003D1F7C" w:rsidP="00937883">
            <w:r>
              <w:rPr>
                <w:sz w:val="24"/>
                <w:szCs w:val="24"/>
              </w:rPr>
              <w:t>Количество архивных документов государственной собственности Свердловской области,  доступных пользователям в оцифрованном виде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F7C" w:rsidRPr="006369EF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</w:t>
            </w:r>
            <w:r w:rsidRPr="006369EF">
              <w:t>тра</w:t>
            </w:r>
            <w:r>
              <w:t>-</w:t>
            </w:r>
            <w:r w:rsidRPr="006369EF">
              <w:t>ниц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1F7C" w:rsidRDefault="003D1F7C" w:rsidP="008F5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1F7C" w:rsidRDefault="003D1F7C" w:rsidP="008F5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F7C" w:rsidRDefault="003D1F7C" w:rsidP="008F58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D1F7C" w:rsidRDefault="003D1F7C" w:rsidP="008F5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D1F7C" w:rsidRDefault="004A7202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202" w:rsidRDefault="004A7202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A7202" w:rsidRDefault="004A7202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F7C" w:rsidRPr="006A51D3" w:rsidRDefault="003D1F7C" w:rsidP="0093788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A51D3">
              <w:t>Админист</w:t>
            </w:r>
            <w:proofErr w:type="spellEnd"/>
            <w:r w:rsidRPr="006A51D3">
              <w:t>-</w:t>
            </w:r>
          </w:p>
          <w:p w:rsidR="003D1F7C" w:rsidRPr="006A51D3" w:rsidRDefault="003D1F7C" w:rsidP="00937883">
            <w:pPr>
              <w:widowControl w:val="0"/>
              <w:autoSpaceDE w:val="0"/>
              <w:autoSpaceDN w:val="0"/>
              <w:adjustRightInd w:val="0"/>
            </w:pPr>
            <w:r w:rsidRPr="006A51D3">
              <w:t xml:space="preserve">рация </w:t>
            </w:r>
          </w:p>
          <w:p w:rsidR="00F43CE4" w:rsidRDefault="003D1F7C" w:rsidP="0093788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A51D3">
              <w:t>Шалинс</w:t>
            </w:r>
            <w:proofErr w:type="spellEnd"/>
            <w:r w:rsidR="00F43CE4">
              <w:t>-</w:t>
            </w:r>
          </w:p>
          <w:p w:rsidR="003D1F7C" w:rsidRPr="006A51D3" w:rsidRDefault="003D1F7C" w:rsidP="00937883">
            <w:pPr>
              <w:widowControl w:val="0"/>
              <w:autoSpaceDE w:val="0"/>
              <w:autoSpaceDN w:val="0"/>
              <w:adjustRightInd w:val="0"/>
            </w:pPr>
            <w:r w:rsidRPr="006A51D3">
              <w:t>кого</w:t>
            </w:r>
          </w:p>
          <w:p w:rsidR="003D1F7C" w:rsidRPr="006A51D3" w:rsidRDefault="003D1F7C" w:rsidP="00937883">
            <w:pPr>
              <w:widowControl w:val="0"/>
              <w:autoSpaceDE w:val="0"/>
              <w:autoSpaceDN w:val="0"/>
              <w:adjustRightInd w:val="0"/>
            </w:pPr>
            <w:r w:rsidRPr="006A51D3">
              <w:t>городского</w:t>
            </w:r>
          </w:p>
          <w:p w:rsidR="003D1F7C" w:rsidRPr="006A51D3" w:rsidRDefault="003D1F7C" w:rsidP="00937883">
            <w:pPr>
              <w:widowControl w:val="0"/>
              <w:autoSpaceDE w:val="0"/>
              <w:autoSpaceDN w:val="0"/>
              <w:adjustRightInd w:val="0"/>
            </w:pPr>
            <w:r w:rsidRPr="006A51D3">
              <w:t>округа</w:t>
            </w:r>
          </w:p>
        </w:tc>
      </w:tr>
      <w:tr w:rsidR="003D1F7C" w:rsidTr="00C0460C">
        <w:trPr>
          <w:cantSplit/>
          <w:trHeight w:val="1039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F7C" w:rsidRDefault="003D1F7C" w:rsidP="00937883">
            <w:pPr>
              <w:pStyle w:val="ConsPlusNormal"/>
              <w:ind w:left="-158"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Оснащение архивохранилищ оборудованием,  в целях сохранности архивных документов, 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F7C" w:rsidRPr="00867F0D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7F0D">
              <w:t>штук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1F7C" w:rsidRDefault="00941AF4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1F7C" w:rsidRDefault="004A7202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1F7C" w:rsidRDefault="004A7202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1F7C" w:rsidRDefault="004A7202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F7C" w:rsidRPr="006A51D3" w:rsidRDefault="003D1F7C" w:rsidP="0093788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A51D3">
              <w:t>Админист</w:t>
            </w:r>
            <w:proofErr w:type="spellEnd"/>
            <w:r w:rsidRPr="006A51D3">
              <w:t>-</w:t>
            </w:r>
          </w:p>
          <w:p w:rsidR="003D1F7C" w:rsidRPr="006A51D3" w:rsidRDefault="003D1F7C" w:rsidP="00937883">
            <w:pPr>
              <w:widowControl w:val="0"/>
              <w:autoSpaceDE w:val="0"/>
              <w:autoSpaceDN w:val="0"/>
              <w:adjustRightInd w:val="0"/>
            </w:pPr>
            <w:r w:rsidRPr="006A51D3">
              <w:t xml:space="preserve">рация </w:t>
            </w:r>
          </w:p>
          <w:p w:rsidR="003D1F7C" w:rsidRPr="006A51D3" w:rsidRDefault="003D1F7C" w:rsidP="00937883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6A51D3">
              <w:t>Шалинс</w:t>
            </w:r>
            <w:r w:rsidR="00F43CE4">
              <w:t>-</w:t>
            </w:r>
            <w:r w:rsidRPr="006A51D3">
              <w:t>кого</w:t>
            </w:r>
            <w:proofErr w:type="spellEnd"/>
            <w:proofErr w:type="gramEnd"/>
          </w:p>
          <w:p w:rsidR="003D1F7C" w:rsidRPr="006A51D3" w:rsidRDefault="003D1F7C" w:rsidP="00937883">
            <w:pPr>
              <w:widowControl w:val="0"/>
              <w:autoSpaceDE w:val="0"/>
              <w:autoSpaceDN w:val="0"/>
              <w:adjustRightInd w:val="0"/>
            </w:pPr>
            <w:r w:rsidRPr="006A51D3">
              <w:t>городского</w:t>
            </w:r>
          </w:p>
          <w:p w:rsidR="003D1F7C" w:rsidRPr="006A51D3" w:rsidRDefault="003D1F7C" w:rsidP="00937883">
            <w:pPr>
              <w:widowControl w:val="0"/>
              <w:autoSpaceDE w:val="0"/>
              <w:autoSpaceDN w:val="0"/>
              <w:adjustRightInd w:val="0"/>
            </w:pPr>
            <w:r w:rsidRPr="006A51D3">
              <w:t>округа</w:t>
            </w:r>
          </w:p>
        </w:tc>
      </w:tr>
      <w:tr w:rsidR="003D1F7C" w:rsidTr="00C0460C">
        <w:trPr>
          <w:cantSplit/>
          <w:trHeight w:val="563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F7C" w:rsidRDefault="003D1F7C" w:rsidP="00937883">
            <w:pPr>
              <w:pStyle w:val="ConsPlusNormal"/>
              <w:ind w:left="-158"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-прибор управления пожаротушением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F7C" w:rsidRPr="00867F0D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F7C" w:rsidRDefault="001518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D1F7C" w:rsidTr="00C0460C">
        <w:trPr>
          <w:cantSplit/>
          <w:trHeight w:val="30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F7C" w:rsidRDefault="003D1F7C" w:rsidP="00937883">
            <w:pPr>
              <w:pStyle w:val="ConsPlusNormal"/>
              <w:ind w:left="-158"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F7C" w:rsidRDefault="00231EC9" w:rsidP="009378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огнетушители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F7C" w:rsidRPr="00867F0D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C" w:rsidRDefault="004A7202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F7C" w:rsidRDefault="004A7202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F7C" w:rsidRDefault="00006CB0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C" w:rsidRDefault="004F1CAD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F7C" w:rsidRDefault="003D1F7C" w:rsidP="009378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41AF4" w:rsidTr="00C0460C">
        <w:trPr>
          <w:cantSplit/>
          <w:trHeight w:val="28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41AF4" w:rsidRDefault="00941AF4" w:rsidP="00937883">
            <w:pPr>
              <w:pStyle w:val="ConsPlusNormal"/>
              <w:ind w:left="-158"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41AF4" w:rsidRDefault="00941AF4" w:rsidP="009378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стеллажи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41AF4" w:rsidRPr="00867F0D" w:rsidRDefault="00941AF4" w:rsidP="0093788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F4" w:rsidRDefault="00941AF4" w:rsidP="008F5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1AF4" w:rsidRDefault="00941AF4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1AF4" w:rsidRDefault="00941AF4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F4" w:rsidRDefault="00941AF4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F4" w:rsidRDefault="00941AF4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41AF4" w:rsidRDefault="00941AF4" w:rsidP="009378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41AF4" w:rsidTr="00C0460C">
        <w:trPr>
          <w:cantSplit/>
          <w:trHeight w:val="205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41AF4" w:rsidRDefault="00941AF4" w:rsidP="00937883">
            <w:pPr>
              <w:pStyle w:val="ConsPlusNormal"/>
              <w:ind w:left="-158"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41AF4" w:rsidRDefault="00941AF4" w:rsidP="009378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-стремянка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41AF4" w:rsidRPr="00867F0D" w:rsidRDefault="00941AF4" w:rsidP="0093788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1AF4" w:rsidRDefault="00941AF4" w:rsidP="008F5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1AF4" w:rsidRDefault="00941AF4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1AF4" w:rsidRDefault="00941AF4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1AF4" w:rsidRDefault="00941AF4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1AF4" w:rsidRDefault="00941AF4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41AF4" w:rsidRDefault="00941AF4" w:rsidP="009378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37883" w:rsidRDefault="00937883" w:rsidP="00937883">
      <w:pPr>
        <w:ind w:left="720"/>
      </w:pPr>
    </w:p>
    <w:p w:rsidR="00937883" w:rsidRDefault="00937883" w:rsidP="00937883">
      <w:pPr>
        <w:ind w:left="720"/>
      </w:pPr>
    </w:p>
    <w:p w:rsidR="00937883" w:rsidRDefault="00937883" w:rsidP="00937883">
      <w:pPr>
        <w:pStyle w:val="ConsPlusTitle"/>
        <w:widowControl/>
        <w:ind w:left="5245"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095D" w:rsidRDefault="007C095D" w:rsidP="00937883">
      <w:pPr>
        <w:pStyle w:val="ConsPlusTitle"/>
        <w:widowControl/>
        <w:ind w:left="5245" w:right="-1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37883" w:rsidRDefault="00937883" w:rsidP="00937883">
      <w:pPr>
        <w:pStyle w:val="ConsPlusTitle"/>
        <w:widowControl/>
        <w:ind w:left="5245" w:right="-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 2</w:t>
      </w:r>
    </w:p>
    <w:p w:rsidR="00937883" w:rsidRDefault="00937883" w:rsidP="00937883">
      <w:pPr>
        <w:pStyle w:val="ConsPlusTitle"/>
        <w:widowControl/>
        <w:ind w:left="5245" w:right="-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 подпрограмме </w:t>
      </w:r>
    </w:p>
    <w:p w:rsidR="00937883" w:rsidRDefault="00937883" w:rsidP="00937883">
      <w:pPr>
        <w:pStyle w:val="ConsPlusTitle"/>
        <w:widowControl/>
        <w:ind w:left="5245" w:right="-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"Развитие архивного дела на территории  Шалинского городского округа  </w:t>
      </w:r>
    </w:p>
    <w:p w:rsidR="00937883" w:rsidRDefault="00937883" w:rsidP="00937883">
      <w:pPr>
        <w:pStyle w:val="ConsPlusTitle"/>
        <w:widowControl/>
        <w:ind w:left="5245" w:right="-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 2019-2023 годы"</w:t>
      </w:r>
    </w:p>
    <w:p w:rsidR="00937883" w:rsidRDefault="00937883" w:rsidP="00937883">
      <w:pPr>
        <w:jc w:val="center"/>
        <w:rPr>
          <w:b/>
          <w:sz w:val="24"/>
          <w:szCs w:val="24"/>
        </w:rPr>
      </w:pPr>
    </w:p>
    <w:p w:rsidR="00937883" w:rsidRDefault="00937883" w:rsidP="009378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мероприятий</w:t>
      </w:r>
    </w:p>
    <w:p w:rsidR="00937883" w:rsidRDefault="00937883" w:rsidP="00937883">
      <w:pPr>
        <w:pStyle w:val="ConsPlusNormal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выполнению подпрограммы «Развитие архивного дела на территории </w:t>
      </w:r>
    </w:p>
    <w:p w:rsidR="00937883" w:rsidRDefault="00937883" w:rsidP="00937883">
      <w:pPr>
        <w:pStyle w:val="ConsPlusNormal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Шалинского городского округа на 2019-2023 годы»</w:t>
      </w:r>
    </w:p>
    <w:p w:rsidR="00937883" w:rsidRDefault="00937883" w:rsidP="00937883">
      <w:pPr>
        <w:ind w:firstLine="540"/>
        <w:jc w:val="both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260"/>
        <w:gridCol w:w="851"/>
        <w:gridCol w:w="850"/>
        <w:gridCol w:w="851"/>
        <w:gridCol w:w="850"/>
        <w:gridCol w:w="851"/>
        <w:gridCol w:w="850"/>
        <w:gridCol w:w="992"/>
      </w:tblGrid>
      <w:tr w:rsidR="00937883" w:rsidTr="00937883">
        <w:trPr>
          <w:trHeight w:val="10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:rsidR="00937883" w:rsidRDefault="00937883" w:rsidP="009378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стро</w:t>
            </w:r>
            <w:proofErr w:type="spellEnd"/>
          </w:p>
          <w:p w:rsidR="00937883" w:rsidRDefault="00937883" w:rsidP="0093788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ки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Pr="00581161" w:rsidRDefault="00937883" w:rsidP="00937883">
            <w:pPr>
              <w:jc w:val="center"/>
            </w:pPr>
            <w:r w:rsidRPr="00581161">
              <w:t xml:space="preserve">Наименование мероприятия </w:t>
            </w:r>
          </w:p>
          <w:p w:rsidR="00937883" w:rsidRPr="00581161" w:rsidRDefault="00937883" w:rsidP="00937883">
            <w:pPr>
              <w:jc w:val="center"/>
            </w:pPr>
            <w:r w:rsidRPr="00581161">
              <w:t>/источник финансирования/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Pr="00581161" w:rsidRDefault="00937883" w:rsidP="00937883">
            <w:pPr>
              <w:jc w:val="center"/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Pr="00581161" w:rsidRDefault="00937883" w:rsidP="00937883">
            <w:pPr>
              <w:jc w:val="center"/>
            </w:pPr>
            <w:r w:rsidRPr="00581161">
              <w:t>Объем расходов на выполнение мероприятия за счет всех источников ресурсного обеспечения, тыс</w:t>
            </w:r>
            <w:proofErr w:type="gramStart"/>
            <w:r w:rsidRPr="00581161">
              <w:t>.р</w:t>
            </w:r>
            <w:proofErr w:type="gramEnd"/>
            <w:r w:rsidRPr="00581161">
              <w:t>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Pr="00581161" w:rsidRDefault="00937883" w:rsidP="00937883">
            <w:pPr>
              <w:jc w:val="center"/>
            </w:pPr>
            <w:r w:rsidRPr="00581161">
              <w:t>Номер строки целевых показателей, на достижение которых направлены мероприятия</w:t>
            </w:r>
          </w:p>
        </w:tc>
      </w:tr>
      <w:tr w:rsidR="00937883" w:rsidTr="00937883">
        <w:trPr>
          <w:trHeight w:val="8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83" w:rsidRDefault="00937883" w:rsidP="0093788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83" w:rsidRDefault="00937883" w:rsidP="0093788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jc w:val="center"/>
              <w:rPr>
                <w:sz w:val="22"/>
                <w:szCs w:val="22"/>
              </w:rPr>
            </w:pPr>
          </w:p>
          <w:p w:rsidR="00937883" w:rsidRDefault="00937883" w:rsidP="00937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jc w:val="center"/>
              <w:rPr>
                <w:sz w:val="22"/>
                <w:szCs w:val="22"/>
              </w:rPr>
            </w:pPr>
          </w:p>
          <w:p w:rsidR="00937883" w:rsidRDefault="005F03C5" w:rsidP="00937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  <w:p w:rsidR="00937883" w:rsidRDefault="00937883" w:rsidP="00937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jc w:val="center"/>
              <w:rPr>
                <w:sz w:val="22"/>
                <w:szCs w:val="22"/>
              </w:rPr>
            </w:pPr>
          </w:p>
          <w:p w:rsidR="00937883" w:rsidRDefault="005F03C5" w:rsidP="00937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937883"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jc w:val="center"/>
              <w:rPr>
                <w:sz w:val="22"/>
                <w:szCs w:val="22"/>
              </w:rPr>
            </w:pPr>
          </w:p>
          <w:p w:rsidR="00937883" w:rsidRDefault="005F03C5" w:rsidP="00937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  <w:p w:rsidR="00937883" w:rsidRDefault="00937883" w:rsidP="00937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jc w:val="center"/>
              <w:rPr>
                <w:sz w:val="22"/>
                <w:szCs w:val="22"/>
              </w:rPr>
            </w:pPr>
          </w:p>
          <w:p w:rsidR="00937883" w:rsidRDefault="005F03C5" w:rsidP="00937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937883"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jc w:val="center"/>
              <w:rPr>
                <w:sz w:val="22"/>
                <w:szCs w:val="22"/>
              </w:rPr>
            </w:pPr>
          </w:p>
          <w:p w:rsidR="00937883" w:rsidRDefault="00937883" w:rsidP="005F0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F03C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83" w:rsidRDefault="00937883" w:rsidP="00937883">
            <w:pPr>
              <w:rPr>
                <w:sz w:val="22"/>
                <w:szCs w:val="22"/>
              </w:rPr>
            </w:pPr>
          </w:p>
        </w:tc>
      </w:tr>
      <w:tr w:rsidR="00937883" w:rsidTr="00937883">
        <w:trPr>
          <w:trHeight w:val="2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</w:pP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3" w:rsidRDefault="00937883" w:rsidP="00937883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83" w:rsidRDefault="00937883" w:rsidP="00937883">
            <w:pPr>
              <w:jc w:val="center"/>
            </w:pPr>
            <w:r>
              <w:t>9</w:t>
            </w:r>
          </w:p>
        </w:tc>
      </w:tr>
      <w:tr w:rsidR="00424AD3" w:rsidTr="009378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numPr>
                <w:ilvl w:val="0"/>
                <w:numId w:val="1"/>
              </w:numPr>
              <w:ind w:left="0" w:hanging="4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в подпрограмме,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1F2562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1,775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8F58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8F58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8F58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8F58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8F58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rPr>
                <w:b/>
                <w:sz w:val="22"/>
                <w:szCs w:val="22"/>
              </w:rPr>
            </w:pPr>
          </w:p>
        </w:tc>
      </w:tr>
      <w:tr w:rsidR="00424AD3" w:rsidTr="009378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numPr>
                <w:ilvl w:val="0"/>
                <w:numId w:val="1"/>
              </w:numPr>
              <w:ind w:left="0" w:hanging="4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1F2562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8F5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8F5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8F5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8F5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8F5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jc w:val="center"/>
              <w:rPr>
                <w:sz w:val="22"/>
                <w:szCs w:val="22"/>
              </w:rPr>
            </w:pPr>
          </w:p>
        </w:tc>
      </w:tr>
      <w:tr w:rsidR="00424AD3" w:rsidTr="009378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numPr>
                <w:ilvl w:val="0"/>
                <w:numId w:val="1"/>
              </w:numPr>
              <w:ind w:left="0" w:hanging="4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1F2562" w:rsidP="001F2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B069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8F58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8F58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8F58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24AD3" w:rsidTr="009378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numPr>
                <w:ilvl w:val="0"/>
                <w:numId w:val="1"/>
              </w:numPr>
              <w:ind w:left="0" w:hanging="4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Оцифровка архивных документов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1F2562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Pr="00F56BAC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9128F5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9128F5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9128F5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9128F5" w:rsidP="00937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24AD3" w:rsidTr="009378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numPr>
                <w:ilvl w:val="0"/>
                <w:numId w:val="1"/>
              </w:numPr>
              <w:ind w:left="0" w:hanging="4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AA51F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="001F2562">
              <w:rPr>
                <w:sz w:val="22"/>
                <w:szCs w:val="22"/>
              </w:rPr>
              <w:t>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Pr="00F56BAC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9128F5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31EC9">
              <w:rPr>
                <w:sz w:val="22"/>
                <w:szCs w:val="22"/>
              </w:rPr>
              <w:t>94</w:t>
            </w:r>
            <w:r>
              <w:rPr>
                <w:sz w:val="22"/>
                <w:szCs w:val="22"/>
              </w:rPr>
              <w:t>,</w:t>
            </w:r>
            <w:r w:rsidR="00231EC9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9128F5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9128F5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jc w:val="center"/>
              <w:rPr>
                <w:sz w:val="22"/>
                <w:szCs w:val="22"/>
              </w:rPr>
            </w:pPr>
          </w:p>
        </w:tc>
      </w:tr>
      <w:tr w:rsidR="00424AD3" w:rsidTr="009378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numPr>
                <w:ilvl w:val="0"/>
                <w:numId w:val="1"/>
              </w:numPr>
              <w:ind w:left="0" w:hanging="4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1F2562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Pr="00F56BAC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6BA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jc w:val="center"/>
              <w:rPr>
                <w:sz w:val="22"/>
                <w:szCs w:val="22"/>
              </w:rPr>
            </w:pPr>
          </w:p>
        </w:tc>
      </w:tr>
      <w:tr w:rsidR="00424AD3" w:rsidTr="00937883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4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Установка, обслуживание охранно-пожарной сигнализации и оборудования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5F03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F2562" w:rsidRDefault="001F2562" w:rsidP="005F03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F2562" w:rsidRDefault="001F2562" w:rsidP="001F2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Pr="00F56BAC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Pr="00F56BAC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Pr="00F56BAC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9128F5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26476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9128F5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9128F5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24AD3" w:rsidTr="00937883">
        <w:trPr>
          <w:trHeight w:val="3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4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006CB0" w:rsidP="001F2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Pr="00F56BAC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9128F5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31E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="00231EC9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9128F5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9128F5" w:rsidP="009128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4AD3" w:rsidTr="009378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4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4AD3" w:rsidTr="009378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4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ремонтных работ в дополнительном помещении архивохранилища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AA51F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395D89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231EC9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24AD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24AD3" w:rsidTr="009378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4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4AD3" w:rsidTr="009378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4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AA51F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395D89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231EC9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4AD3" w:rsidTr="00937883">
        <w:trPr>
          <w:trHeight w:val="10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4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товарно-материальных ценностей и оборудования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Pr="00F56BAC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Pr="00F56BAC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424AD3" w:rsidRPr="00F56BAC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Pr="00F56BAC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7C095D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1F25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Pr="00E32170" w:rsidRDefault="007B300E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4AD3" w:rsidRDefault="00231EC9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24AD3" w:rsidTr="00937883">
        <w:trPr>
          <w:trHeight w:val="5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4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-прибор управления пожаротушением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Pr="00F56BAC" w:rsidRDefault="007B300E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24AD3" w:rsidRDefault="00231EC9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B300E" w:rsidRDefault="007B300E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B300E" w:rsidRDefault="007B300E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4AD3" w:rsidTr="00937883">
        <w:trPr>
          <w:trHeight w:val="2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4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9128F5" w:rsidP="009378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огнетушители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7B300E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7C095D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E32170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7B300E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4AD3" w:rsidTr="00937883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4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стеллажи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8F5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7B300E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395D89" w:rsidP="00395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7B300E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7B300E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4AD3" w:rsidTr="00937883">
        <w:trPr>
          <w:trHeight w:val="3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4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стремянка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8F5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7B300E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395D89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7B300E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7B300E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4AD3" w:rsidTr="009378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4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1F2562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231EC9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Pr="00F56BAC" w:rsidRDefault="007B300E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231EC9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24AD3" w:rsidTr="009378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424AD3" w:rsidP="009378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4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7B300E" w:rsidP="007B30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3" w:rsidRDefault="00231EC9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Pr="00F56BAC" w:rsidRDefault="00231EC9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395D89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31EC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7B300E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D3" w:rsidRDefault="00424AD3" w:rsidP="0093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37883" w:rsidRDefault="00937883" w:rsidP="00937883"/>
    <w:p w:rsidR="00937883" w:rsidRDefault="00937883" w:rsidP="0064405F"/>
    <w:sectPr w:rsidR="00937883" w:rsidSect="00A11953">
      <w:pgSz w:w="11906" w:h="16838"/>
      <w:pgMar w:top="851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F8B"/>
    <w:multiLevelType w:val="hybridMultilevel"/>
    <w:tmpl w:val="8EE80782"/>
    <w:lvl w:ilvl="0" w:tplc="FF7283EC">
      <w:start w:val="1"/>
      <w:numFmt w:val="decimal"/>
      <w:lvlText w:val="%1."/>
      <w:lvlJc w:val="left"/>
      <w:pPr>
        <w:ind w:left="89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3590D98"/>
    <w:multiLevelType w:val="hybridMultilevel"/>
    <w:tmpl w:val="4736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D7A"/>
    <w:rsid w:val="000069C4"/>
    <w:rsid w:val="00006CB0"/>
    <w:rsid w:val="00014ABE"/>
    <w:rsid w:val="000712A4"/>
    <w:rsid w:val="000D16F4"/>
    <w:rsid w:val="000D266C"/>
    <w:rsid w:val="000D4DA1"/>
    <w:rsid w:val="000E0E7D"/>
    <w:rsid w:val="001315ED"/>
    <w:rsid w:val="001518D3"/>
    <w:rsid w:val="00160AAC"/>
    <w:rsid w:val="00180D7A"/>
    <w:rsid w:val="001831FC"/>
    <w:rsid w:val="0018512B"/>
    <w:rsid w:val="001D09EE"/>
    <w:rsid w:val="001E7CD1"/>
    <w:rsid w:val="001F2562"/>
    <w:rsid w:val="00216BC2"/>
    <w:rsid w:val="0023169F"/>
    <w:rsid w:val="00231EC9"/>
    <w:rsid w:val="0026476A"/>
    <w:rsid w:val="002706CA"/>
    <w:rsid w:val="002A5966"/>
    <w:rsid w:val="002A7F5D"/>
    <w:rsid w:val="002D013F"/>
    <w:rsid w:val="002D295A"/>
    <w:rsid w:val="002D6B04"/>
    <w:rsid w:val="00332599"/>
    <w:rsid w:val="003338E0"/>
    <w:rsid w:val="00395D89"/>
    <w:rsid w:val="003A5A89"/>
    <w:rsid w:val="003B3A5F"/>
    <w:rsid w:val="003D1F7C"/>
    <w:rsid w:val="003D41F1"/>
    <w:rsid w:val="003F01F4"/>
    <w:rsid w:val="00410A99"/>
    <w:rsid w:val="00424AD3"/>
    <w:rsid w:val="00425C5A"/>
    <w:rsid w:val="00440C0F"/>
    <w:rsid w:val="00460255"/>
    <w:rsid w:val="004627DD"/>
    <w:rsid w:val="00466EDD"/>
    <w:rsid w:val="0047554D"/>
    <w:rsid w:val="004A7202"/>
    <w:rsid w:val="004B2DC7"/>
    <w:rsid w:val="004D0720"/>
    <w:rsid w:val="004F1CAB"/>
    <w:rsid w:val="004F1CAD"/>
    <w:rsid w:val="004F33B1"/>
    <w:rsid w:val="0052191B"/>
    <w:rsid w:val="005736E3"/>
    <w:rsid w:val="00574260"/>
    <w:rsid w:val="005B1A18"/>
    <w:rsid w:val="005E47EE"/>
    <w:rsid w:val="005E6E85"/>
    <w:rsid w:val="005F03C5"/>
    <w:rsid w:val="00637C80"/>
    <w:rsid w:val="0064405F"/>
    <w:rsid w:val="00657261"/>
    <w:rsid w:val="00662986"/>
    <w:rsid w:val="00691730"/>
    <w:rsid w:val="006A51D3"/>
    <w:rsid w:val="006C16D2"/>
    <w:rsid w:val="006C6397"/>
    <w:rsid w:val="006D351D"/>
    <w:rsid w:val="006F4D16"/>
    <w:rsid w:val="006F6BDD"/>
    <w:rsid w:val="007135BD"/>
    <w:rsid w:val="007232F3"/>
    <w:rsid w:val="00785588"/>
    <w:rsid w:val="007B300E"/>
    <w:rsid w:val="007C095D"/>
    <w:rsid w:val="007E1AC3"/>
    <w:rsid w:val="007F0D33"/>
    <w:rsid w:val="007F7DD9"/>
    <w:rsid w:val="008017C8"/>
    <w:rsid w:val="00807E4D"/>
    <w:rsid w:val="008118B7"/>
    <w:rsid w:val="00855B94"/>
    <w:rsid w:val="008563F9"/>
    <w:rsid w:val="00867F0D"/>
    <w:rsid w:val="008701B0"/>
    <w:rsid w:val="008A3DEE"/>
    <w:rsid w:val="008C3A96"/>
    <w:rsid w:val="008E322F"/>
    <w:rsid w:val="008E4242"/>
    <w:rsid w:val="008F587B"/>
    <w:rsid w:val="008F6B3D"/>
    <w:rsid w:val="009128F5"/>
    <w:rsid w:val="009304D8"/>
    <w:rsid w:val="00931CCA"/>
    <w:rsid w:val="00937883"/>
    <w:rsid w:val="00941AF4"/>
    <w:rsid w:val="00946523"/>
    <w:rsid w:val="00973996"/>
    <w:rsid w:val="00985893"/>
    <w:rsid w:val="00996E29"/>
    <w:rsid w:val="009C5EEA"/>
    <w:rsid w:val="009E5046"/>
    <w:rsid w:val="00A11953"/>
    <w:rsid w:val="00A2090A"/>
    <w:rsid w:val="00A276F4"/>
    <w:rsid w:val="00A457B5"/>
    <w:rsid w:val="00A71FC4"/>
    <w:rsid w:val="00A8045B"/>
    <w:rsid w:val="00AA51F3"/>
    <w:rsid w:val="00AC5378"/>
    <w:rsid w:val="00AE3F37"/>
    <w:rsid w:val="00AF5A04"/>
    <w:rsid w:val="00B0690B"/>
    <w:rsid w:val="00B307E7"/>
    <w:rsid w:val="00B37C7E"/>
    <w:rsid w:val="00B80767"/>
    <w:rsid w:val="00B93FFE"/>
    <w:rsid w:val="00BA5F11"/>
    <w:rsid w:val="00BC4A54"/>
    <w:rsid w:val="00C02602"/>
    <w:rsid w:val="00C0460C"/>
    <w:rsid w:val="00C46DD9"/>
    <w:rsid w:val="00C4705A"/>
    <w:rsid w:val="00C76297"/>
    <w:rsid w:val="00C958AF"/>
    <w:rsid w:val="00CD1765"/>
    <w:rsid w:val="00CE5C6F"/>
    <w:rsid w:val="00D03022"/>
    <w:rsid w:val="00D57D47"/>
    <w:rsid w:val="00DB019B"/>
    <w:rsid w:val="00DE569D"/>
    <w:rsid w:val="00E32170"/>
    <w:rsid w:val="00EA7118"/>
    <w:rsid w:val="00EB3A00"/>
    <w:rsid w:val="00EB4E4E"/>
    <w:rsid w:val="00EE2A64"/>
    <w:rsid w:val="00EE594F"/>
    <w:rsid w:val="00EE604D"/>
    <w:rsid w:val="00EF2C7D"/>
    <w:rsid w:val="00F11CD2"/>
    <w:rsid w:val="00F23620"/>
    <w:rsid w:val="00F242A1"/>
    <w:rsid w:val="00F43CE4"/>
    <w:rsid w:val="00F60744"/>
    <w:rsid w:val="00F66FFE"/>
    <w:rsid w:val="00F67831"/>
    <w:rsid w:val="00F95980"/>
    <w:rsid w:val="00FB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7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0D7A"/>
    <w:rPr>
      <w:color w:val="0000FF"/>
      <w:u w:val="single"/>
    </w:rPr>
  </w:style>
  <w:style w:type="paragraph" w:customStyle="1" w:styleId="ConsPlusNormal">
    <w:name w:val="ConsPlusNormal"/>
    <w:rsid w:val="00180D7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B4E4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EB4E4E"/>
    <w:pPr>
      <w:suppressAutoHyphens/>
      <w:spacing w:after="120" w:line="480" w:lineRule="auto"/>
      <w:ind w:left="283"/>
    </w:pPr>
    <w:rPr>
      <w:lang w:eastAsia="ar-SA"/>
    </w:rPr>
  </w:style>
  <w:style w:type="paragraph" w:styleId="a4">
    <w:name w:val="List Paragraph"/>
    <w:basedOn w:val="a"/>
    <w:uiPriority w:val="34"/>
    <w:qFormat/>
    <w:rsid w:val="00231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6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103</cp:revision>
  <cp:lastPrinted>2018-08-27T05:12:00Z</cp:lastPrinted>
  <dcterms:created xsi:type="dcterms:W3CDTF">2017-04-06T10:07:00Z</dcterms:created>
  <dcterms:modified xsi:type="dcterms:W3CDTF">2018-08-28T05:03:00Z</dcterms:modified>
</cp:coreProperties>
</file>