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F6" w:rsidRDefault="001208F6" w:rsidP="001208F6">
      <w:pPr>
        <w:pStyle w:val="ConsNonformat"/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2844165</wp:posOffset>
            </wp:positionH>
            <wp:positionV relativeFrom="paragraph">
              <wp:posOffset>-1905</wp:posOffset>
            </wp:positionV>
            <wp:extent cx="449580" cy="723900"/>
            <wp:effectExtent l="19050" t="0" r="7620" b="0"/>
            <wp:wrapThrough wrapText="bothSides">
              <wp:wrapPolygon edited="0">
                <wp:start x="-915" y="0"/>
                <wp:lineTo x="-915" y="21032"/>
                <wp:lineTo x="21966" y="21032"/>
                <wp:lineTo x="21966" y="0"/>
                <wp:lineTo x="-91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8F6" w:rsidRDefault="001208F6" w:rsidP="001208F6">
      <w:pPr>
        <w:pStyle w:val="a3"/>
        <w:rPr>
          <w:b/>
          <w:i/>
        </w:rPr>
      </w:pPr>
    </w:p>
    <w:p w:rsidR="001208F6" w:rsidRDefault="001208F6" w:rsidP="001208F6">
      <w:pPr>
        <w:pStyle w:val="a3"/>
        <w:rPr>
          <w:b/>
        </w:rPr>
      </w:pPr>
    </w:p>
    <w:p w:rsidR="001208F6" w:rsidRDefault="001208F6" w:rsidP="001208F6">
      <w:pPr>
        <w:pStyle w:val="a3"/>
        <w:rPr>
          <w:b/>
        </w:rPr>
      </w:pPr>
    </w:p>
    <w:p w:rsidR="001208F6" w:rsidRDefault="001208F6" w:rsidP="001208F6">
      <w:pPr>
        <w:pStyle w:val="a3"/>
      </w:pPr>
      <w:r w:rsidRPr="0092758B">
        <w:t xml:space="preserve">ФИНАНСОВОЕ УПРАВЛЕНИЕ </w:t>
      </w:r>
    </w:p>
    <w:p w:rsidR="001208F6" w:rsidRDefault="001208F6" w:rsidP="001208F6">
      <w:pPr>
        <w:pStyle w:val="a3"/>
      </w:pPr>
      <w:r w:rsidRPr="0092758B">
        <w:t xml:space="preserve">АДМИНИСТРАЦИИ </w:t>
      </w:r>
    </w:p>
    <w:p w:rsidR="001208F6" w:rsidRPr="0092758B" w:rsidRDefault="001208F6" w:rsidP="001208F6">
      <w:pPr>
        <w:pStyle w:val="a3"/>
      </w:pPr>
      <w:r w:rsidRPr="0092758B">
        <w:t>ШАЛИНСКОГО ГОРОДСКОГО ОКРУГА</w:t>
      </w:r>
    </w:p>
    <w:p w:rsidR="001208F6" w:rsidRDefault="001208F6" w:rsidP="001208F6">
      <w:pPr>
        <w:pStyle w:val="a3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tbl>
      <w:tblPr>
        <w:tblW w:w="926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9265"/>
      </w:tblGrid>
      <w:tr w:rsidR="001208F6" w:rsidTr="006E6199">
        <w:trPr>
          <w:trHeight w:val="238"/>
        </w:trPr>
        <w:tc>
          <w:tcPr>
            <w:tcW w:w="9265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1208F6" w:rsidRDefault="001208F6" w:rsidP="006E6199">
            <w:pPr>
              <w:jc w:val="center"/>
            </w:pPr>
          </w:p>
        </w:tc>
      </w:tr>
    </w:tbl>
    <w:p w:rsidR="001208F6" w:rsidRDefault="001208F6" w:rsidP="001208F6">
      <w:pPr>
        <w:widowControl w:val="0"/>
        <w:autoSpaceDE w:val="0"/>
        <w:autoSpaceDN w:val="0"/>
        <w:adjustRightInd w:val="0"/>
        <w:ind w:firstLine="4"/>
        <w:jc w:val="center"/>
      </w:pPr>
      <w:r>
        <w:t xml:space="preserve"> </w:t>
      </w:r>
    </w:p>
    <w:p w:rsidR="001208F6" w:rsidRPr="008E73EF" w:rsidRDefault="001208F6" w:rsidP="001208F6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C86071">
        <w:rPr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="002026A9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 декабря</w:t>
      </w:r>
      <w:r w:rsidR="002026A9">
        <w:rPr>
          <w:color w:val="000000"/>
          <w:sz w:val="28"/>
          <w:szCs w:val="28"/>
        </w:rPr>
        <w:t xml:space="preserve"> </w:t>
      </w:r>
      <w:r w:rsidRPr="008E73EF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6</w:t>
      </w:r>
      <w:r w:rsidRPr="008E73EF">
        <w:rPr>
          <w:color w:val="000000"/>
          <w:sz w:val="28"/>
          <w:szCs w:val="28"/>
        </w:rPr>
        <w:t xml:space="preserve"> года          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8E73EF">
        <w:rPr>
          <w:color w:val="000000"/>
          <w:sz w:val="28"/>
          <w:szCs w:val="28"/>
        </w:rPr>
        <w:t xml:space="preserve"> №</w:t>
      </w:r>
      <w:r w:rsidR="002026A9">
        <w:rPr>
          <w:color w:val="000000"/>
          <w:sz w:val="28"/>
          <w:szCs w:val="28"/>
        </w:rPr>
        <w:t xml:space="preserve"> 75</w:t>
      </w:r>
      <w:r w:rsidRPr="008E73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1208F6" w:rsidRDefault="001208F6" w:rsidP="001208F6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2026A9" w:rsidRPr="008E73EF" w:rsidRDefault="002026A9" w:rsidP="001208F6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1208F6" w:rsidRPr="001208F6" w:rsidRDefault="001208F6" w:rsidP="001208F6">
      <w:pPr>
        <w:jc w:val="center"/>
        <w:rPr>
          <w:b/>
          <w:sz w:val="28"/>
          <w:szCs w:val="28"/>
        </w:rPr>
      </w:pPr>
      <w:r w:rsidRPr="001208F6">
        <w:rPr>
          <w:b/>
          <w:sz w:val="28"/>
          <w:szCs w:val="28"/>
        </w:rPr>
        <w:t xml:space="preserve">Об утверждении порядка взаимодействия </w:t>
      </w:r>
      <w:r>
        <w:rPr>
          <w:b/>
          <w:sz w:val="28"/>
          <w:szCs w:val="28"/>
        </w:rPr>
        <w:t>Ф</w:t>
      </w:r>
      <w:r w:rsidRPr="001208F6">
        <w:rPr>
          <w:b/>
          <w:sz w:val="28"/>
          <w:szCs w:val="28"/>
        </w:rPr>
        <w:t>инансового управления</w:t>
      </w:r>
    </w:p>
    <w:p w:rsidR="001208F6" w:rsidRPr="001208F6" w:rsidRDefault="001208F6" w:rsidP="001208F6">
      <w:pPr>
        <w:jc w:val="center"/>
        <w:rPr>
          <w:b/>
          <w:sz w:val="28"/>
          <w:szCs w:val="28"/>
        </w:rPr>
      </w:pPr>
      <w:r w:rsidRPr="001208F6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Шалинского городского округа</w:t>
      </w:r>
      <w:r w:rsidRPr="001208F6">
        <w:rPr>
          <w:b/>
          <w:sz w:val="28"/>
          <w:szCs w:val="28"/>
        </w:rPr>
        <w:t xml:space="preserve"> с субъектами контроля,</w:t>
      </w:r>
    </w:p>
    <w:p w:rsidR="001208F6" w:rsidRPr="001208F6" w:rsidRDefault="001208F6" w:rsidP="001208F6">
      <w:pPr>
        <w:jc w:val="center"/>
        <w:rPr>
          <w:b/>
          <w:sz w:val="28"/>
          <w:szCs w:val="28"/>
        </w:rPr>
      </w:pPr>
      <w:r w:rsidRPr="001208F6">
        <w:rPr>
          <w:b/>
          <w:sz w:val="28"/>
          <w:szCs w:val="28"/>
        </w:rPr>
        <w:t>предусмотренного частью 5 статьи 99 федерального закона</w:t>
      </w:r>
    </w:p>
    <w:p w:rsidR="001208F6" w:rsidRPr="001208F6" w:rsidRDefault="001208F6" w:rsidP="001208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1208F6">
        <w:rPr>
          <w:b/>
          <w:sz w:val="28"/>
          <w:szCs w:val="28"/>
        </w:rPr>
        <w:t xml:space="preserve"> контрактной системе в сфере закупок товаров, работ,</w:t>
      </w:r>
    </w:p>
    <w:p w:rsidR="001208F6" w:rsidRPr="001208F6" w:rsidRDefault="001208F6" w:rsidP="001208F6">
      <w:pPr>
        <w:jc w:val="center"/>
        <w:rPr>
          <w:b/>
          <w:sz w:val="28"/>
          <w:szCs w:val="28"/>
        </w:rPr>
      </w:pPr>
      <w:r w:rsidRPr="001208F6">
        <w:rPr>
          <w:b/>
          <w:sz w:val="28"/>
          <w:szCs w:val="28"/>
        </w:rPr>
        <w:t>услуг для обеспечения госуд</w:t>
      </w:r>
      <w:r>
        <w:rPr>
          <w:b/>
          <w:sz w:val="28"/>
          <w:szCs w:val="28"/>
        </w:rPr>
        <w:t>арственных и муниципальных нужд»</w:t>
      </w:r>
    </w:p>
    <w:p w:rsidR="001208F6" w:rsidRPr="00FD58C9" w:rsidRDefault="001208F6" w:rsidP="001208F6">
      <w:pPr>
        <w:rPr>
          <w:sz w:val="28"/>
          <w:szCs w:val="28"/>
        </w:rPr>
      </w:pPr>
    </w:p>
    <w:p w:rsidR="001208F6" w:rsidRPr="001208F6" w:rsidRDefault="001208F6" w:rsidP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8F6">
        <w:rPr>
          <w:rFonts w:ascii="Times New Roman" w:hAnsi="Times New Roman" w:cs="Times New Roman"/>
          <w:sz w:val="28"/>
          <w:szCs w:val="28"/>
        </w:rPr>
        <w:t xml:space="preserve">В целях реализации части 6 статьи 99 Федерального закона от 5 апреля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08F6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08F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08F6">
        <w:rPr>
          <w:rFonts w:ascii="Times New Roman" w:hAnsi="Times New Roman" w:cs="Times New Roman"/>
          <w:sz w:val="28"/>
          <w:szCs w:val="28"/>
        </w:rPr>
        <w:t xml:space="preserve">, в соответствии с пунктом 12 Правил осуществления контроля, предусмотренного частью 5 статьи 99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08F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1208F6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от 12 декабря 2015 г. </w:t>
      </w:r>
      <w:r w:rsidR="0019561A">
        <w:rPr>
          <w:rFonts w:ascii="Times New Roman" w:hAnsi="Times New Roman" w:cs="Times New Roman"/>
          <w:sz w:val="28"/>
          <w:szCs w:val="28"/>
        </w:rPr>
        <w:t>№</w:t>
      </w:r>
      <w:r w:rsidRPr="001208F6">
        <w:rPr>
          <w:rFonts w:ascii="Times New Roman" w:hAnsi="Times New Roman" w:cs="Times New Roman"/>
          <w:sz w:val="28"/>
          <w:szCs w:val="28"/>
        </w:rPr>
        <w:t xml:space="preserve"> 1367, </w:t>
      </w:r>
    </w:p>
    <w:p w:rsidR="0019561A" w:rsidRDefault="0019561A" w:rsidP="001208F6">
      <w:pPr>
        <w:spacing w:line="216" w:lineRule="auto"/>
        <w:jc w:val="both"/>
        <w:rPr>
          <w:spacing w:val="2"/>
          <w:sz w:val="28"/>
          <w:szCs w:val="28"/>
        </w:rPr>
      </w:pPr>
    </w:p>
    <w:p w:rsidR="001208F6" w:rsidRDefault="001208F6" w:rsidP="001208F6">
      <w:pPr>
        <w:spacing w:line="216" w:lineRule="auto"/>
        <w:jc w:val="both"/>
        <w:rPr>
          <w:spacing w:val="20"/>
          <w:sz w:val="28"/>
          <w:szCs w:val="28"/>
        </w:rPr>
      </w:pPr>
      <w:proofErr w:type="gramStart"/>
      <w:r w:rsidRPr="00FD58C9">
        <w:rPr>
          <w:spacing w:val="2"/>
          <w:sz w:val="28"/>
          <w:szCs w:val="28"/>
        </w:rPr>
        <w:t>П</w:t>
      </w:r>
      <w:proofErr w:type="gramEnd"/>
      <w:r w:rsidRPr="00FD58C9">
        <w:rPr>
          <w:spacing w:val="2"/>
          <w:sz w:val="28"/>
          <w:szCs w:val="28"/>
        </w:rPr>
        <w:t xml:space="preserve"> Р И К А З Ы В А Ю</w:t>
      </w:r>
      <w:r w:rsidRPr="00FD58C9">
        <w:rPr>
          <w:spacing w:val="20"/>
          <w:sz w:val="28"/>
          <w:szCs w:val="28"/>
        </w:rPr>
        <w:t>:</w:t>
      </w:r>
    </w:p>
    <w:p w:rsidR="001208F6" w:rsidRPr="00FD58C9" w:rsidRDefault="001208F6" w:rsidP="001208F6">
      <w:pPr>
        <w:spacing w:line="216" w:lineRule="auto"/>
        <w:jc w:val="both"/>
        <w:rPr>
          <w:spacing w:val="20"/>
          <w:sz w:val="28"/>
          <w:szCs w:val="28"/>
        </w:rPr>
      </w:pPr>
    </w:p>
    <w:p w:rsidR="0019561A" w:rsidRPr="0019561A" w:rsidRDefault="0019561A" w:rsidP="00195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1. Утвердить Порядок взаимодействия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9561A">
        <w:rPr>
          <w:rFonts w:ascii="Times New Roman" w:hAnsi="Times New Roman" w:cs="Times New Roman"/>
          <w:sz w:val="28"/>
          <w:szCs w:val="28"/>
        </w:rPr>
        <w:t>инансового управления администрации Шалинского городского округа</w:t>
      </w:r>
      <w:r w:rsidRPr="001208F6">
        <w:rPr>
          <w:b/>
          <w:sz w:val="28"/>
          <w:szCs w:val="28"/>
        </w:rPr>
        <w:t xml:space="preserve"> </w:t>
      </w:r>
      <w:r w:rsidRPr="0019561A">
        <w:rPr>
          <w:rFonts w:ascii="Times New Roman" w:hAnsi="Times New Roman" w:cs="Times New Roman"/>
          <w:sz w:val="28"/>
          <w:szCs w:val="28"/>
        </w:rPr>
        <w:t xml:space="preserve">с субъектами контроля, указанными в пунктах 3 и </w:t>
      </w:r>
      <w:hyperlink r:id="rId7" w:history="1">
        <w:r w:rsidRPr="0019561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9561A">
        <w:rPr>
          <w:rFonts w:ascii="Times New Roman" w:hAnsi="Times New Roman" w:cs="Times New Roman"/>
          <w:sz w:val="28"/>
          <w:szCs w:val="28"/>
        </w:rPr>
        <w:t xml:space="preserve"> Правил осуществления контроля, предусмотренного частью 5 статьи 99 Федерального закона от 5 апреля 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61A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9561A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561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561A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19561A" w:rsidRPr="0019561A" w:rsidRDefault="0019561A" w:rsidP="00195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2. Настоящий Приказ вступает в силу с 1 января 2017 года.</w:t>
      </w:r>
    </w:p>
    <w:p w:rsidR="0019561A" w:rsidRPr="0019561A" w:rsidRDefault="0019561A" w:rsidP="00195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956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9561A" w:rsidRPr="0019561A" w:rsidRDefault="0019561A" w:rsidP="00195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4. Настоящий Приказ разместить на официальном сайте администрации Шалинского городского округа.</w:t>
      </w:r>
    </w:p>
    <w:p w:rsidR="001208F6" w:rsidRDefault="001208F6" w:rsidP="001208F6">
      <w:pPr>
        <w:pStyle w:val="ConsNonformat"/>
        <w:rPr>
          <w:sz w:val="28"/>
          <w:szCs w:val="28"/>
        </w:rPr>
      </w:pPr>
    </w:p>
    <w:p w:rsidR="0019561A" w:rsidRDefault="0019561A" w:rsidP="001208F6">
      <w:pPr>
        <w:pStyle w:val="ConsNonformat"/>
        <w:rPr>
          <w:sz w:val="28"/>
          <w:szCs w:val="28"/>
        </w:rPr>
      </w:pPr>
    </w:p>
    <w:p w:rsidR="001208F6" w:rsidRDefault="001208F6" w:rsidP="001208F6">
      <w:pPr>
        <w:pStyle w:val="ConsNonformat"/>
        <w:rPr>
          <w:rFonts w:ascii="Times New Roman" w:hAnsi="Times New Roman"/>
          <w:sz w:val="28"/>
          <w:szCs w:val="28"/>
        </w:rPr>
      </w:pPr>
      <w:r w:rsidRPr="00FA60D6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М.И.Лобанов</w:t>
      </w:r>
    </w:p>
    <w:p w:rsidR="001208F6" w:rsidRDefault="001208F6" w:rsidP="001208F6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1208F6" w:rsidRDefault="001208F6">
      <w:pPr>
        <w:pStyle w:val="ConsPlusTitlePage"/>
      </w:pPr>
    </w:p>
    <w:p w:rsidR="001208F6" w:rsidRDefault="001208F6">
      <w:pPr>
        <w:pStyle w:val="ConsPlusNormal"/>
        <w:outlineLvl w:val="0"/>
      </w:pPr>
    </w:p>
    <w:p w:rsidR="001208F6" w:rsidRPr="0019561A" w:rsidRDefault="001208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9561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208F6" w:rsidRPr="0019561A" w:rsidRDefault="001208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561A">
        <w:rPr>
          <w:rFonts w:ascii="Times New Roman" w:hAnsi="Times New Roman" w:cs="Times New Roman"/>
          <w:sz w:val="24"/>
          <w:szCs w:val="24"/>
        </w:rPr>
        <w:t>к Приказу начальника</w:t>
      </w:r>
    </w:p>
    <w:p w:rsidR="0019561A" w:rsidRDefault="0019561A" w:rsidP="001956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561A">
        <w:rPr>
          <w:rFonts w:ascii="Times New Roman" w:hAnsi="Times New Roman" w:cs="Times New Roman"/>
          <w:sz w:val="24"/>
          <w:szCs w:val="24"/>
        </w:rPr>
        <w:t>Ф</w:t>
      </w:r>
      <w:r w:rsidR="001208F6" w:rsidRPr="0019561A">
        <w:rPr>
          <w:rFonts w:ascii="Times New Roman" w:hAnsi="Times New Roman" w:cs="Times New Roman"/>
          <w:sz w:val="24"/>
          <w:szCs w:val="24"/>
        </w:rPr>
        <w:t>инансового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1208F6" w:rsidRPr="00195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61A" w:rsidRDefault="0019561A" w:rsidP="001956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561A"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</w:t>
      </w:r>
    </w:p>
    <w:p w:rsidR="001208F6" w:rsidRPr="0019561A" w:rsidRDefault="001208F6" w:rsidP="001956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561A">
        <w:rPr>
          <w:rFonts w:ascii="Times New Roman" w:hAnsi="Times New Roman" w:cs="Times New Roman"/>
          <w:sz w:val="24"/>
          <w:szCs w:val="24"/>
        </w:rPr>
        <w:t xml:space="preserve">от </w:t>
      </w:r>
      <w:r w:rsidR="002026A9">
        <w:rPr>
          <w:rFonts w:ascii="Times New Roman" w:hAnsi="Times New Roman" w:cs="Times New Roman"/>
          <w:sz w:val="24"/>
          <w:szCs w:val="24"/>
        </w:rPr>
        <w:t>29</w:t>
      </w:r>
      <w:r w:rsidRPr="0019561A">
        <w:rPr>
          <w:rFonts w:ascii="Times New Roman" w:hAnsi="Times New Roman" w:cs="Times New Roman"/>
          <w:sz w:val="24"/>
          <w:szCs w:val="24"/>
        </w:rPr>
        <w:t xml:space="preserve"> декабря 2016 г. </w:t>
      </w:r>
      <w:r w:rsidR="0019561A">
        <w:rPr>
          <w:rFonts w:ascii="Times New Roman" w:hAnsi="Times New Roman" w:cs="Times New Roman"/>
          <w:sz w:val="24"/>
          <w:szCs w:val="24"/>
        </w:rPr>
        <w:t>№</w:t>
      </w:r>
      <w:r w:rsidR="002026A9">
        <w:rPr>
          <w:rFonts w:ascii="Times New Roman" w:hAnsi="Times New Roman" w:cs="Times New Roman"/>
          <w:sz w:val="24"/>
          <w:szCs w:val="24"/>
        </w:rPr>
        <w:t xml:space="preserve"> 75</w:t>
      </w:r>
      <w:r w:rsidR="00195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8F6" w:rsidRDefault="001208F6">
      <w:pPr>
        <w:pStyle w:val="ConsPlusNormal"/>
      </w:pPr>
    </w:p>
    <w:p w:rsidR="0019561A" w:rsidRPr="0019561A" w:rsidRDefault="0019561A" w:rsidP="0019561A">
      <w:pPr>
        <w:jc w:val="center"/>
        <w:rPr>
          <w:b/>
          <w:sz w:val="28"/>
          <w:szCs w:val="28"/>
        </w:rPr>
      </w:pPr>
      <w:bookmarkStart w:id="0" w:name="P32"/>
      <w:bookmarkEnd w:id="0"/>
      <w:r w:rsidRPr="0019561A">
        <w:rPr>
          <w:b/>
          <w:sz w:val="28"/>
          <w:szCs w:val="28"/>
        </w:rPr>
        <w:t>Порядок взаимодействия Финансового управления</w:t>
      </w:r>
    </w:p>
    <w:p w:rsidR="0019561A" w:rsidRPr="0019561A" w:rsidRDefault="0019561A" w:rsidP="0019561A">
      <w:pPr>
        <w:jc w:val="center"/>
        <w:rPr>
          <w:b/>
          <w:sz w:val="28"/>
          <w:szCs w:val="28"/>
        </w:rPr>
      </w:pPr>
      <w:r w:rsidRPr="0019561A">
        <w:rPr>
          <w:b/>
          <w:sz w:val="28"/>
          <w:szCs w:val="28"/>
        </w:rPr>
        <w:t>администрации Шалинского городского округа с субъектами контроля,</w:t>
      </w:r>
    </w:p>
    <w:p w:rsidR="0019561A" w:rsidRPr="0019561A" w:rsidRDefault="0019561A" w:rsidP="0019561A">
      <w:pPr>
        <w:jc w:val="center"/>
        <w:rPr>
          <w:b/>
          <w:sz w:val="28"/>
          <w:szCs w:val="28"/>
        </w:rPr>
      </w:pPr>
      <w:r w:rsidRPr="0019561A">
        <w:rPr>
          <w:b/>
          <w:sz w:val="28"/>
          <w:szCs w:val="28"/>
        </w:rPr>
        <w:t>предусмотренного частью 5 статьи 99 федерального закона</w:t>
      </w:r>
    </w:p>
    <w:p w:rsidR="0019561A" w:rsidRPr="0019561A" w:rsidRDefault="0019561A" w:rsidP="0019561A">
      <w:pPr>
        <w:jc w:val="center"/>
        <w:rPr>
          <w:b/>
          <w:sz w:val="28"/>
          <w:szCs w:val="28"/>
        </w:rPr>
      </w:pPr>
      <w:r w:rsidRPr="0019561A">
        <w:rPr>
          <w:b/>
          <w:sz w:val="28"/>
          <w:szCs w:val="28"/>
        </w:rPr>
        <w:t>«О контрактной системе в сфере закупок товаров, работ,</w:t>
      </w:r>
    </w:p>
    <w:p w:rsidR="001208F6" w:rsidRDefault="0019561A" w:rsidP="001956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61A">
        <w:rPr>
          <w:rFonts w:ascii="Times New Roman" w:hAnsi="Times New Roman" w:cs="Times New Roman"/>
          <w:b/>
          <w:sz w:val="28"/>
          <w:szCs w:val="28"/>
        </w:rPr>
        <w:t>услуг для обеспечения государственных и муниципальных нужд</w:t>
      </w:r>
    </w:p>
    <w:p w:rsidR="0019561A" w:rsidRPr="0019561A" w:rsidRDefault="0019561A" w:rsidP="0019561A">
      <w:pPr>
        <w:pStyle w:val="ConsPlusNormal"/>
        <w:jc w:val="center"/>
        <w:rPr>
          <w:rFonts w:ascii="Times New Roman" w:hAnsi="Times New Roman" w:cs="Times New Roman"/>
        </w:rPr>
      </w:pP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9561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взаимодействия </w:t>
      </w:r>
      <w:r w:rsidR="0019561A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Шалинского городского округа </w:t>
      </w:r>
      <w:r w:rsidRPr="0019561A">
        <w:rPr>
          <w:rFonts w:ascii="Times New Roman" w:hAnsi="Times New Roman" w:cs="Times New Roman"/>
          <w:sz w:val="28"/>
          <w:szCs w:val="28"/>
        </w:rPr>
        <w:t xml:space="preserve">(далее - орган контроля) с субъектами контроля указанными в пункте 4 Правил осуществления контроля, предусмотренного частью 5 статьи 99 Федерального закона </w:t>
      </w:r>
      <w:r w:rsidR="0019561A">
        <w:rPr>
          <w:rFonts w:ascii="Times New Roman" w:hAnsi="Times New Roman" w:cs="Times New Roman"/>
          <w:sz w:val="28"/>
          <w:szCs w:val="28"/>
        </w:rPr>
        <w:t>«</w:t>
      </w:r>
      <w:r w:rsidRPr="0019561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9561A">
        <w:rPr>
          <w:rFonts w:ascii="Times New Roman" w:hAnsi="Times New Roman" w:cs="Times New Roman"/>
          <w:sz w:val="28"/>
          <w:szCs w:val="28"/>
        </w:rPr>
        <w:t>»</w:t>
      </w:r>
      <w:r w:rsidRPr="0019561A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от 12 декабря 2015 г. </w:t>
      </w:r>
      <w:r w:rsidR="0019561A">
        <w:rPr>
          <w:rFonts w:ascii="Times New Roman" w:hAnsi="Times New Roman" w:cs="Times New Roman"/>
          <w:sz w:val="28"/>
          <w:szCs w:val="28"/>
        </w:rPr>
        <w:t>№</w:t>
      </w:r>
      <w:r w:rsidRPr="0019561A">
        <w:rPr>
          <w:rFonts w:ascii="Times New Roman" w:hAnsi="Times New Roman" w:cs="Times New Roman"/>
          <w:sz w:val="28"/>
          <w:szCs w:val="28"/>
        </w:rPr>
        <w:t xml:space="preserve"> 1367 (далее - субъекты контроля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 xml:space="preserve">, правила контроля), а также формы направления субъектами контроля сведений в случаях, предусмотренных подпунктом "б" пункта 8 и </w:t>
      </w:r>
      <w:hyperlink r:id="rId8" w:history="1">
        <w:r w:rsidRPr="0019561A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19561A">
        <w:rPr>
          <w:rFonts w:ascii="Times New Roman" w:hAnsi="Times New Roman" w:cs="Times New Roman"/>
          <w:sz w:val="28"/>
          <w:szCs w:val="28"/>
        </w:rPr>
        <w:t xml:space="preserve"> Правил контроля, и формы протоколов, направляемых органом контроля субъектам контроля.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Настоящий Порядок применяется при размещении субъектами контроля в единой информационной системе в сфере закупок (далее - ЕИС) документов в целях осуществления контроля, предусмотренного частью 5 статьи 99 указанного Федерального закона (далее соответственно - контроль, объекты контроля, Федеральный закон).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2. Субъектами контроля, осуществляемого органом контроля, являются: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19561A">
        <w:rPr>
          <w:rFonts w:ascii="Times New Roman" w:hAnsi="Times New Roman" w:cs="Times New Roman"/>
          <w:sz w:val="28"/>
          <w:szCs w:val="28"/>
        </w:rPr>
        <w:t>а) муниципальные заказчики, осуществляющие закупки от имени муниципального образования за счет средств местного бюджета, в том числе при передаче им полномочий муниципального заказчика в соответствии с бюджетным законодательством Российской Федерации;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19561A">
        <w:rPr>
          <w:rFonts w:ascii="Times New Roman" w:hAnsi="Times New Roman" w:cs="Times New Roman"/>
          <w:sz w:val="28"/>
          <w:szCs w:val="28"/>
        </w:rPr>
        <w:t>б) муниципальные бюджетные учреждения, осуществляющие закупки в соответствии с частью 1 статьи 15 Федерального закона;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"/>
      <w:bookmarkEnd w:id="3"/>
      <w:r w:rsidRPr="0019561A">
        <w:rPr>
          <w:rFonts w:ascii="Times New Roman" w:hAnsi="Times New Roman" w:cs="Times New Roman"/>
          <w:sz w:val="28"/>
          <w:szCs w:val="28"/>
        </w:rPr>
        <w:t>в) муниципальные автономные учреждения, муниципальные унитарные предприятия, осуществляющие закупки в соответствии с частью 4 статьи 15 Федерального закона.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9561A">
        <w:rPr>
          <w:rFonts w:ascii="Times New Roman" w:hAnsi="Times New Roman" w:cs="Times New Roman"/>
          <w:sz w:val="28"/>
          <w:szCs w:val="28"/>
        </w:rPr>
        <w:t xml:space="preserve">Взаимодействие субъектов контроля с органом контроля в целях контроля информации, определенной частью 5 статьи 99 Федерального закона, содержащейся в объектах контроля (далее - контролируемая информация), осуществляется при размещении в ЕИС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</w:t>
      </w:r>
      <w:r w:rsidRPr="00E3360F">
        <w:rPr>
          <w:rFonts w:ascii="Times New Roman" w:hAnsi="Times New Roman" w:cs="Times New Roman"/>
          <w:sz w:val="28"/>
          <w:szCs w:val="28"/>
        </w:rPr>
        <w:t>Правилами</w:t>
      </w:r>
      <w:r w:rsidRPr="0019561A">
        <w:rPr>
          <w:rFonts w:ascii="Times New Roman" w:hAnsi="Times New Roman" w:cs="Times New Roman"/>
          <w:sz w:val="28"/>
          <w:szCs w:val="28"/>
        </w:rPr>
        <w:t xml:space="preserve"> функционирования единой информационной системы в сфере закупок, утвержденными Постановлением Правительства </w:t>
      </w:r>
      <w:r w:rsidRPr="0019561A">
        <w:rPr>
          <w:rFonts w:ascii="Times New Roman" w:hAnsi="Times New Roman" w:cs="Times New Roman"/>
          <w:sz w:val="28"/>
          <w:szCs w:val="28"/>
        </w:rPr>
        <w:lastRenderedPageBreak/>
        <w:t>Российской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 xml:space="preserve"> Федерации от 23 декабря 2015 г. </w:t>
      </w:r>
      <w:r w:rsidR="00E3360F">
        <w:rPr>
          <w:rFonts w:ascii="Times New Roman" w:hAnsi="Times New Roman" w:cs="Times New Roman"/>
          <w:sz w:val="28"/>
          <w:szCs w:val="28"/>
        </w:rPr>
        <w:t>№</w:t>
      </w:r>
      <w:r w:rsidRPr="0019561A">
        <w:rPr>
          <w:rFonts w:ascii="Times New Roman" w:hAnsi="Times New Roman" w:cs="Times New Roman"/>
          <w:sz w:val="28"/>
          <w:szCs w:val="28"/>
        </w:rPr>
        <w:t xml:space="preserve"> 1414 (далее - электронный документ, форматы).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4. При размещении электронного документа в ЕИС орган контроля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5. Электронные документы должны быть подписаны соответствующей требованиям Федерального </w:t>
      </w:r>
      <w:r w:rsidRPr="00E3360F">
        <w:rPr>
          <w:rFonts w:ascii="Times New Roman" w:hAnsi="Times New Roman" w:cs="Times New Roman"/>
          <w:sz w:val="28"/>
          <w:szCs w:val="28"/>
        </w:rPr>
        <w:t>закона</w:t>
      </w:r>
      <w:r w:rsidRPr="0019561A">
        <w:rPr>
          <w:rFonts w:ascii="Times New Roman" w:hAnsi="Times New Roman" w:cs="Times New Roman"/>
          <w:sz w:val="28"/>
          <w:szCs w:val="28"/>
        </w:rPr>
        <w:t xml:space="preserve"> электронной подписью лица, имеющего право действовать от имени субъекта контроля.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6. При осуществлении взаимодействия с субъектами контроля орган контроля проверяет в соответствии с </w:t>
      </w:r>
      <w:r w:rsidRPr="00E3360F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E3360F" w:rsidRPr="00E3360F">
        <w:rPr>
          <w:rFonts w:ascii="Times New Roman" w:hAnsi="Times New Roman" w:cs="Times New Roman"/>
          <w:sz w:val="28"/>
          <w:szCs w:val="28"/>
        </w:rPr>
        <w:t>«</w:t>
      </w:r>
      <w:r w:rsidRPr="00E3360F">
        <w:rPr>
          <w:rFonts w:ascii="Times New Roman" w:hAnsi="Times New Roman" w:cs="Times New Roman"/>
          <w:sz w:val="28"/>
          <w:szCs w:val="28"/>
        </w:rPr>
        <w:t>а</w:t>
      </w:r>
      <w:r w:rsidR="00E3360F" w:rsidRPr="00E3360F">
        <w:rPr>
          <w:rFonts w:ascii="Times New Roman" w:hAnsi="Times New Roman" w:cs="Times New Roman"/>
          <w:sz w:val="28"/>
          <w:szCs w:val="28"/>
        </w:rPr>
        <w:t>»</w:t>
      </w:r>
      <w:r w:rsidRPr="00E3360F">
        <w:rPr>
          <w:rFonts w:ascii="Times New Roman" w:hAnsi="Times New Roman" w:cs="Times New Roman"/>
          <w:sz w:val="28"/>
          <w:szCs w:val="28"/>
        </w:rPr>
        <w:t xml:space="preserve"> пункта 13</w:t>
      </w:r>
      <w:r w:rsidRPr="0019561A">
        <w:rPr>
          <w:rFonts w:ascii="Times New Roman" w:hAnsi="Times New Roman" w:cs="Times New Roman"/>
          <w:sz w:val="28"/>
          <w:szCs w:val="28"/>
        </w:rPr>
        <w:t xml:space="preserve"> Правил контроля контролируемую информацию об объеме финансового обеспечения, включенную в план закупок: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а) субъектов контроля, указанных в </w:t>
      </w:r>
      <w:r w:rsidRPr="00E3360F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E3360F">
        <w:rPr>
          <w:rFonts w:ascii="Times New Roman" w:hAnsi="Times New Roman" w:cs="Times New Roman"/>
          <w:sz w:val="28"/>
          <w:szCs w:val="28"/>
        </w:rPr>
        <w:t>«</w:t>
      </w:r>
      <w:r w:rsidRPr="00E3360F">
        <w:rPr>
          <w:rFonts w:ascii="Times New Roman" w:hAnsi="Times New Roman" w:cs="Times New Roman"/>
          <w:sz w:val="28"/>
          <w:szCs w:val="28"/>
        </w:rPr>
        <w:t>а</w:t>
      </w:r>
      <w:r w:rsidR="00E3360F">
        <w:rPr>
          <w:rFonts w:ascii="Times New Roman" w:hAnsi="Times New Roman" w:cs="Times New Roman"/>
          <w:sz w:val="28"/>
          <w:szCs w:val="28"/>
        </w:rPr>
        <w:t>»</w:t>
      </w:r>
      <w:r w:rsidRPr="00E3360F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Pr="0019561A">
        <w:rPr>
          <w:rFonts w:ascii="Times New Roman" w:hAnsi="Times New Roman" w:cs="Times New Roman"/>
          <w:sz w:val="28"/>
          <w:szCs w:val="28"/>
        </w:rPr>
        <w:t>настоящего Порядка (далее - получатели бюджетных средств):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на предмет непревышения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60F">
        <w:rPr>
          <w:rFonts w:ascii="Times New Roman" w:hAnsi="Times New Roman" w:cs="Times New Roman"/>
          <w:sz w:val="28"/>
          <w:szCs w:val="28"/>
        </w:rPr>
        <w:t>на соответствие сведениям об объемах средств, указанных в правовых актах (проектах таких актов, размещенных в установленном порядке в целях общественного обсуждения) Правительства Российской Федерации, высших исполнительных органов государственной власти субъектов Российской Федерации, местных администраций и иных документах, установленных Правительством Российской Федерации,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 срок действия доведенных</w:t>
      </w:r>
      <w:proofErr w:type="gramEnd"/>
      <w:r w:rsidRPr="00E3360F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направляемых в орган контроля по рекомендуемому образцу согласно приложению </w:t>
      </w:r>
      <w:r w:rsidR="00E3360F" w:rsidRPr="00E3360F">
        <w:rPr>
          <w:rFonts w:ascii="Times New Roman" w:hAnsi="Times New Roman" w:cs="Times New Roman"/>
          <w:sz w:val="28"/>
          <w:szCs w:val="28"/>
        </w:rPr>
        <w:t>№</w:t>
      </w:r>
      <w:r w:rsidRPr="00E3360F">
        <w:rPr>
          <w:rFonts w:ascii="Times New Roman" w:hAnsi="Times New Roman" w:cs="Times New Roman"/>
          <w:sz w:val="28"/>
          <w:szCs w:val="28"/>
        </w:rPr>
        <w:t xml:space="preserve"> 1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proofErr w:type="gramStart"/>
      <w:r w:rsidRPr="0019561A">
        <w:rPr>
          <w:rFonts w:ascii="Times New Roman" w:hAnsi="Times New Roman" w:cs="Times New Roman"/>
          <w:sz w:val="28"/>
          <w:szCs w:val="28"/>
        </w:rPr>
        <w:t xml:space="preserve">б) субъектов контроля, указанных в </w:t>
      </w:r>
      <w:r w:rsidRPr="00E3360F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E3360F">
        <w:rPr>
          <w:rFonts w:ascii="Times New Roman" w:hAnsi="Times New Roman" w:cs="Times New Roman"/>
          <w:sz w:val="28"/>
          <w:szCs w:val="28"/>
        </w:rPr>
        <w:t>«</w:t>
      </w:r>
      <w:r w:rsidRPr="00E3360F">
        <w:rPr>
          <w:rFonts w:ascii="Times New Roman" w:hAnsi="Times New Roman" w:cs="Times New Roman"/>
          <w:sz w:val="28"/>
          <w:szCs w:val="28"/>
        </w:rPr>
        <w:t>б</w:t>
      </w:r>
      <w:r w:rsidR="00E3360F">
        <w:rPr>
          <w:rFonts w:ascii="Times New Roman" w:hAnsi="Times New Roman" w:cs="Times New Roman"/>
          <w:sz w:val="28"/>
          <w:szCs w:val="28"/>
        </w:rPr>
        <w:t>»</w:t>
      </w:r>
      <w:r w:rsidRPr="00E3360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4" w:history="1">
        <w:r w:rsidR="00E3360F">
          <w:rPr>
            <w:rFonts w:ascii="Times New Roman" w:hAnsi="Times New Roman" w:cs="Times New Roman"/>
            <w:sz w:val="28"/>
            <w:szCs w:val="28"/>
          </w:rPr>
          <w:t>«</w:t>
        </w:r>
        <w:r w:rsidRPr="00E3360F">
          <w:rPr>
            <w:rFonts w:ascii="Times New Roman" w:hAnsi="Times New Roman" w:cs="Times New Roman"/>
            <w:sz w:val="28"/>
            <w:szCs w:val="28"/>
          </w:rPr>
          <w:t>в</w:t>
        </w:r>
        <w:r w:rsidR="00E3360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19561A">
        <w:rPr>
          <w:rFonts w:ascii="Times New Roman" w:hAnsi="Times New Roman" w:cs="Times New Roman"/>
          <w:sz w:val="28"/>
          <w:szCs w:val="28"/>
        </w:rPr>
        <w:t xml:space="preserve"> (в части автономных учреждений) пункта 2 настоящего Порядка (далее - учреждения), на предмет непревышения показателей выплат по расходам на закупки товаров, работ, услуг, осуществляемых в соответствии с Федеральным </w:t>
      </w:r>
      <w:r w:rsidRPr="00E3360F">
        <w:rPr>
          <w:rFonts w:ascii="Times New Roman" w:hAnsi="Times New Roman" w:cs="Times New Roman"/>
          <w:sz w:val="28"/>
          <w:szCs w:val="28"/>
        </w:rPr>
        <w:t>законом</w:t>
      </w:r>
      <w:r w:rsidRPr="0019561A">
        <w:rPr>
          <w:rFonts w:ascii="Times New Roman" w:hAnsi="Times New Roman" w:cs="Times New Roman"/>
          <w:sz w:val="28"/>
          <w:szCs w:val="28"/>
        </w:rPr>
        <w:t xml:space="preserve">, отраженных в </w:t>
      </w:r>
      <w:r w:rsidR="00A36395" w:rsidRPr="00A36395">
        <w:rPr>
          <w:rFonts w:ascii="Times New Roman" w:hAnsi="Times New Roman" w:cs="Times New Roman"/>
          <w:sz w:val="28"/>
          <w:szCs w:val="28"/>
        </w:rPr>
        <w:t>плане</w:t>
      </w:r>
      <w:r w:rsidRPr="00A36395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муниципальных бюджетных и автономных учреждений (далее - план ФХД);</w:t>
      </w:r>
      <w:proofErr w:type="gramEnd"/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"/>
      <w:bookmarkEnd w:id="5"/>
      <w:proofErr w:type="gramStart"/>
      <w:r w:rsidRPr="0019561A">
        <w:rPr>
          <w:rFonts w:ascii="Times New Roman" w:hAnsi="Times New Roman" w:cs="Times New Roman"/>
          <w:sz w:val="28"/>
          <w:szCs w:val="28"/>
        </w:rPr>
        <w:t xml:space="preserve">в) субъектов контроля, указанных в </w:t>
      </w:r>
      <w:r w:rsidRPr="00E3360F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E3360F">
        <w:rPr>
          <w:rFonts w:ascii="Times New Roman" w:hAnsi="Times New Roman" w:cs="Times New Roman"/>
          <w:sz w:val="28"/>
          <w:szCs w:val="28"/>
        </w:rPr>
        <w:t>«</w:t>
      </w:r>
      <w:r w:rsidRPr="00E3360F">
        <w:rPr>
          <w:rFonts w:ascii="Times New Roman" w:hAnsi="Times New Roman" w:cs="Times New Roman"/>
          <w:sz w:val="28"/>
          <w:szCs w:val="28"/>
        </w:rPr>
        <w:t>в</w:t>
      </w:r>
      <w:r w:rsidR="00E3360F">
        <w:rPr>
          <w:rFonts w:ascii="Times New Roman" w:hAnsi="Times New Roman" w:cs="Times New Roman"/>
          <w:sz w:val="28"/>
          <w:szCs w:val="28"/>
        </w:rPr>
        <w:t>»</w:t>
      </w:r>
      <w:r w:rsidRPr="00E3360F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Pr="0019561A">
        <w:rPr>
          <w:rFonts w:ascii="Times New Roman" w:hAnsi="Times New Roman" w:cs="Times New Roman"/>
          <w:sz w:val="28"/>
          <w:szCs w:val="28"/>
        </w:rPr>
        <w:t xml:space="preserve"> настоящего Порядка (в части муниципальных унитарных предприятий), на предмет непревышения суммы бюджетного обязательства получателя бюджетных средств, заключившего соглашение о предоставлении унитарному </w:t>
      </w:r>
      <w:r w:rsidRPr="0019561A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предприятию субсидий на осуществление капитальных вложений в соответствии со </w:t>
      </w:r>
      <w:r w:rsidRPr="00E3360F">
        <w:rPr>
          <w:rFonts w:ascii="Times New Roman" w:hAnsi="Times New Roman" w:cs="Times New Roman"/>
          <w:sz w:val="28"/>
          <w:szCs w:val="28"/>
        </w:rPr>
        <w:t>статьей 78.2</w:t>
      </w:r>
      <w:r w:rsidRPr="0019561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7. При осуществлении взаимодействия с субъектами контроля орган контроля осуществляет контроль планов закупок, являющихся объектами контроля: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а) при размещении субъектами контроля объектов контроля в ЕИС;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б) при уменьшении в установленном порядке субъекту контроля как получателю бюджетных средств лимитов бюджетных обязательств, связанных с закупками товаров, работ, услуг;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в) при уменьшении показателей выплат на закупку товаров, работ, услуг включенных в планы ФХД;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61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9561A">
        <w:rPr>
          <w:rFonts w:ascii="Times New Roman" w:hAnsi="Times New Roman" w:cs="Times New Roman"/>
          <w:sz w:val="28"/>
          <w:szCs w:val="28"/>
        </w:rPr>
        <w:t xml:space="preserve">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</w:t>
      </w:r>
      <w:r w:rsidRPr="00C310F1">
        <w:rPr>
          <w:rFonts w:ascii="Times New Roman" w:hAnsi="Times New Roman" w:cs="Times New Roman"/>
          <w:sz w:val="28"/>
          <w:szCs w:val="28"/>
        </w:rPr>
        <w:t>статьей 78.2</w:t>
      </w:r>
      <w:r w:rsidRPr="0019561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9"/>
      <w:bookmarkEnd w:id="6"/>
      <w:r w:rsidRPr="0019561A">
        <w:rPr>
          <w:rFonts w:ascii="Times New Roman" w:hAnsi="Times New Roman" w:cs="Times New Roman"/>
          <w:sz w:val="28"/>
          <w:szCs w:val="28"/>
        </w:rPr>
        <w:t xml:space="preserve">8. При осуществлении взаимодействия с субъектами контроля орган контроля проверяет в соответствии с </w:t>
      </w:r>
      <w:r w:rsidRPr="00C310F1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C310F1" w:rsidRPr="00C310F1">
        <w:rPr>
          <w:rFonts w:ascii="Times New Roman" w:hAnsi="Times New Roman" w:cs="Times New Roman"/>
          <w:sz w:val="28"/>
          <w:szCs w:val="28"/>
        </w:rPr>
        <w:t>«</w:t>
      </w:r>
      <w:r w:rsidRPr="00C310F1">
        <w:rPr>
          <w:rFonts w:ascii="Times New Roman" w:hAnsi="Times New Roman" w:cs="Times New Roman"/>
          <w:sz w:val="28"/>
          <w:szCs w:val="28"/>
        </w:rPr>
        <w:t>б</w:t>
      </w:r>
      <w:r w:rsidR="00C310F1" w:rsidRPr="00C310F1">
        <w:rPr>
          <w:rFonts w:ascii="Times New Roman" w:hAnsi="Times New Roman" w:cs="Times New Roman"/>
          <w:sz w:val="28"/>
          <w:szCs w:val="28"/>
        </w:rPr>
        <w:t xml:space="preserve">» </w:t>
      </w:r>
      <w:r w:rsidRPr="00C310F1">
        <w:rPr>
          <w:rFonts w:ascii="Times New Roman" w:hAnsi="Times New Roman" w:cs="Times New Roman"/>
          <w:sz w:val="28"/>
          <w:szCs w:val="28"/>
        </w:rPr>
        <w:t>пункта 13</w:t>
      </w:r>
      <w:r w:rsidRPr="0019561A">
        <w:rPr>
          <w:rFonts w:ascii="Times New Roman" w:hAnsi="Times New Roman" w:cs="Times New Roman"/>
          <w:sz w:val="28"/>
          <w:szCs w:val="28"/>
        </w:rPr>
        <w:t xml:space="preserve"> Правил контроля следующие объекты контроля: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61A">
        <w:rPr>
          <w:rFonts w:ascii="Times New Roman" w:hAnsi="Times New Roman" w:cs="Times New Roman"/>
          <w:sz w:val="28"/>
          <w:szCs w:val="28"/>
        </w:rPr>
        <w:t xml:space="preserve">а) план-график закупок на </w:t>
      </w:r>
      <w:proofErr w:type="spellStart"/>
      <w:r w:rsidRPr="0019561A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19561A">
        <w:rPr>
          <w:rFonts w:ascii="Times New Roman" w:hAnsi="Times New Roman" w:cs="Times New Roman"/>
          <w:sz w:val="28"/>
          <w:szCs w:val="28"/>
        </w:rPr>
        <w:t xml:space="preserve">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561A">
        <w:rPr>
          <w:rFonts w:ascii="Times New Roman" w:hAnsi="Times New Roman" w:cs="Times New Roman"/>
          <w:sz w:val="28"/>
          <w:szCs w:val="28"/>
        </w:rPr>
        <w:t>плане-графике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 xml:space="preserve">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1"/>
      <w:bookmarkEnd w:id="7"/>
      <w:proofErr w:type="gramStart"/>
      <w:r w:rsidRPr="0019561A">
        <w:rPr>
          <w:rFonts w:ascii="Times New Roman" w:hAnsi="Times New Roman" w:cs="Times New Roman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 xml:space="preserve"> поставщиком (подрядчиком, исполнителем) по соответствующему идентификационному коду закупки, указанным в плане-графике закупок;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в) протокол определения поставщика (подрядчика, исполнителя) (сведения о протоколе) </w:t>
      </w:r>
      <w:proofErr w:type="gramStart"/>
      <w:r w:rsidRPr="0019561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>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9561A">
        <w:rPr>
          <w:rFonts w:ascii="Times New Roman" w:hAnsi="Times New Roman" w:cs="Times New Roman"/>
          <w:sz w:val="28"/>
          <w:szCs w:val="28"/>
        </w:rPr>
        <w:lastRenderedPageBreak/>
        <w:t>непревышение</w:t>
      </w:r>
      <w:proofErr w:type="spellEnd"/>
      <w:r w:rsidRPr="0019561A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r w:rsidRPr="00C310F1">
        <w:rPr>
          <w:rFonts w:ascii="Times New Roman" w:hAnsi="Times New Roman" w:cs="Times New Roman"/>
          <w:sz w:val="28"/>
          <w:szCs w:val="28"/>
        </w:rPr>
        <w:t>закона</w:t>
      </w:r>
      <w:r w:rsidRPr="0019561A">
        <w:rPr>
          <w:rFonts w:ascii="Times New Roman" w:hAnsi="Times New Roman" w:cs="Times New Roman"/>
          <w:sz w:val="28"/>
          <w:szCs w:val="28"/>
        </w:rPr>
        <w:t>, над начальной (максимальной) ценой, содержащейся в документации о закупке;</w:t>
      </w:r>
      <w:proofErr w:type="gramEnd"/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5"/>
      <w:bookmarkEnd w:id="8"/>
      <w:r w:rsidRPr="0019561A">
        <w:rPr>
          <w:rFonts w:ascii="Times New Roman" w:hAnsi="Times New Roman" w:cs="Times New Roman"/>
          <w:sz w:val="28"/>
          <w:szCs w:val="28"/>
        </w:rPr>
        <w:t xml:space="preserve">г) проект контракта, направляемый участнику закупки (контракт, возвращаемый участником закупки) на соответствие </w:t>
      </w:r>
      <w:proofErr w:type="gramStart"/>
      <w:r w:rsidRPr="0019561A">
        <w:rPr>
          <w:rFonts w:ascii="Times New Roman" w:hAnsi="Times New Roman" w:cs="Times New Roman"/>
          <w:sz w:val="28"/>
          <w:szCs w:val="28"/>
        </w:rPr>
        <w:t>содержащихся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 xml:space="preserve"> в нем: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идентификационного кода закупки - аналогичной информации, содержащейся в протоколе определения поставщика (подрядчика, исполнителя);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цены контракта - цене, указанной в протоколе, предложенной участником закупки, с которым заключается контракт;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61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9561A">
        <w:rPr>
          <w:rFonts w:ascii="Times New Roman" w:hAnsi="Times New Roman" w:cs="Times New Roman"/>
          <w:sz w:val="28"/>
          <w:szCs w:val="28"/>
        </w:rPr>
        <w:t>) информацию, включаемую в реестр контрактов на соответствие: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идентификационного кода закупки - аналогичной информации, содержащейся в условиях контракта;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информации о цене контракта - цене, указанной в условиях контракта в контракте.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9. Предусмотренное </w:t>
      </w:r>
      <w:r w:rsidRPr="00C310F1">
        <w:rPr>
          <w:rFonts w:ascii="Times New Roman" w:hAnsi="Times New Roman" w:cs="Times New Roman"/>
          <w:sz w:val="28"/>
          <w:szCs w:val="28"/>
        </w:rPr>
        <w:t>пунктом 8</w:t>
      </w:r>
      <w:r w:rsidRPr="0019561A">
        <w:rPr>
          <w:rFonts w:ascii="Times New Roman" w:hAnsi="Times New Roman" w:cs="Times New Roman"/>
          <w:sz w:val="28"/>
          <w:szCs w:val="28"/>
        </w:rPr>
        <w:t xml:space="preserve"> настоящего Порядка взаимодействие субъектов контроля с органом контроля при проверке объектов контроля, указанных в </w:t>
      </w:r>
      <w:r w:rsidRPr="00C310F1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C310F1">
        <w:rPr>
          <w:rFonts w:ascii="Times New Roman" w:hAnsi="Times New Roman" w:cs="Times New Roman"/>
          <w:sz w:val="28"/>
          <w:szCs w:val="28"/>
        </w:rPr>
        <w:t>«</w:t>
      </w:r>
      <w:r w:rsidRPr="00C310F1">
        <w:rPr>
          <w:rFonts w:ascii="Times New Roman" w:hAnsi="Times New Roman" w:cs="Times New Roman"/>
          <w:sz w:val="28"/>
          <w:szCs w:val="28"/>
        </w:rPr>
        <w:t>б</w:t>
      </w:r>
      <w:r w:rsidR="00C310F1">
        <w:rPr>
          <w:rFonts w:ascii="Times New Roman" w:hAnsi="Times New Roman" w:cs="Times New Roman"/>
          <w:sz w:val="28"/>
          <w:szCs w:val="28"/>
        </w:rPr>
        <w:t>»</w:t>
      </w:r>
      <w:r w:rsidRPr="00C310F1">
        <w:rPr>
          <w:rFonts w:ascii="Times New Roman" w:hAnsi="Times New Roman" w:cs="Times New Roman"/>
          <w:sz w:val="28"/>
          <w:szCs w:val="28"/>
        </w:rPr>
        <w:t xml:space="preserve"> - </w:t>
      </w:r>
      <w:r w:rsidR="00C310F1">
        <w:rPr>
          <w:rFonts w:ascii="Times New Roman" w:hAnsi="Times New Roman" w:cs="Times New Roman"/>
          <w:sz w:val="28"/>
          <w:szCs w:val="28"/>
        </w:rPr>
        <w:t>«</w:t>
      </w:r>
      <w:r w:rsidRPr="00C310F1">
        <w:rPr>
          <w:rFonts w:ascii="Times New Roman" w:hAnsi="Times New Roman" w:cs="Times New Roman"/>
          <w:sz w:val="28"/>
          <w:szCs w:val="28"/>
        </w:rPr>
        <w:t>г</w:t>
      </w:r>
      <w:r w:rsidR="00C310F1">
        <w:rPr>
          <w:rFonts w:ascii="Times New Roman" w:hAnsi="Times New Roman" w:cs="Times New Roman"/>
          <w:sz w:val="28"/>
          <w:szCs w:val="28"/>
        </w:rPr>
        <w:t>»</w:t>
      </w:r>
      <w:r w:rsidRPr="00C310F1">
        <w:rPr>
          <w:rFonts w:ascii="Times New Roman" w:hAnsi="Times New Roman" w:cs="Times New Roman"/>
          <w:sz w:val="28"/>
          <w:szCs w:val="28"/>
        </w:rPr>
        <w:t xml:space="preserve"> пункта 8</w:t>
      </w:r>
      <w:r w:rsidRPr="0019561A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с учетом следующих особенностей: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а) объекты контроля,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</w:t>
      </w:r>
      <w:r w:rsidRPr="00C310F1">
        <w:rPr>
          <w:rFonts w:ascii="Times New Roman" w:hAnsi="Times New Roman" w:cs="Times New Roman"/>
          <w:sz w:val="28"/>
          <w:szCs w:val="28"/>
        </w:rPr>
        <w:t>статьей 26</w:t>
      </w:r>
      <w:r w:rsidRPr="0019561A">
        <w:rPr>
          <w:rFonts w:ascii="Times New Roman" w:hAnsi="Times New Roman" w:cs="Times New Roman"/>
          <w:sz w:val="28"/>
          <w:szCs w:val="28"/>
        </w:rPr>
        <w:t xml:space="preserve"> Федерального закона, а также организатором совместных конкурсов и аукционов, проводимых в соответствии со </w:t>
      </w:r>
      <w:r w:rsidRPr="00C310F1">
        <w:rPr>
          <w:rFonts w:ascii="Times New Roman" w:hAnsi="Times New Roman" w:cs="Times New Roman"/>
          <w:sz w:val="28"/>
          <w:szCs w:val="28"/>
        </w:rPr>
        <w:t xml:space="preserve">статьей 25 </w:t>
      </w:r>
      <w:r w:rsidRPr="0019561A">
        <w:rPr>
          <w:rFonts w:ascii="Times New Roman" w:hAnsi="Times New Roman" w:cs="Times New Roman"/>
          <w:sz w:val="28"/>
          <w:szCs w:val="28"/>
        </w:rPr>
        <w:t xml:space="preserve">Федерального закона, проверяются </w:t>
      </w:r>
      <w:proofErr w:type="gramStart"/>
      <w:r w:rsidRPr="0019561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>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документацию, начальной (максимальной) цене контракта по соответствующему идентификационному коду закупки и идентификационному коду закупки, </w:t>
      </w:r>
      <w:proofErr w:type="gramStart"/>
      <w:r w:rsidRPr="0019561A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 xml:space="preserve"> в плане-графике закупок соответствующего заказчика; </w:t>
      </w:r>
      <w:proofErr w:type="spellStart"/>
      <w:proofErr w:type="gramStart"/>
      <w:r w:rsidRPr="0019561A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19561A">
        <w:rPr>
          <w:rFonts w:ascii="Times New Roman" w:hAnsi="Times New Roman" w:cs="Times New Roman"/>
          <w:sz w:val="28"/>
          <w:szCs w:val="28"/>
        </w:rPr>
        <w:t xml:space="preserve"> включенной в протокол определения поставщика (подрядчика, исполнителя)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r w:rsidRPr="00C310F1">
        <w:rPr>
          <w:rFonts w:ascii="Times New Roman" w:hAnsi="Times New Roman" w:cs="Times New Roman"/>
          <w:sz w:val="28"/>
          <w:szCs w:val="28"/>
        </w:rPr>
        <w:t>закона,</w:t>
      </w:r>
      <w:r w:rsidRPr="0019561A">
        <w:rPr>
          <w:rFonts w:ascii="Times New Roman" w:hAnsi="Times New Roman" w:cs="Times New Roman"/>
          <w:sz w:val="28"/>
          <w:szCs w:val="28"/>
        </w:rPr>
        <w:t xml:space="preserve">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закупки, указанного в таком протоколе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>, аналогичной информации, содержащейся в документации о закупке по закупке соответствующего заказчика;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</w:t>
      </w:r>
      <w:proofErr w:type="gramStart"/>
      <w:r w:rsidRPr="0019561A"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 xml:space="preserve"> в проект контракта, направляемого участнику закупки (контракт, возвращаемый участником закупки):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цены контракта - цене, указанной в протоколе определения поставщика (подрядчика, исполнителя), предложенной участником закупки, с которым заключается контракт, по закупке соответствующего заказчика;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б) объекты контроля по закупкам, указываемым в плане-графике закупок отдельной строкой в случаях, установленных Правительством Российской Федерации, проверяются на </w:t>
      </w:r>
      <w:proofErr w:type="spellStart"/>
      <w:r w:rsidRPr="0019561A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19561A">
        <w:rPr>
          <w:rFonts w:ascii="Times New Roman" w:hAnsi="Times New Roman" w:cs="Times New Roman"/>
          <w:sz w:val="28"/>
          <w:szCs w:val="28"/>
        </w:rPr>
        <w:t xml:space="preserve"> включенной в план-график закупок информации о планируемых платежах по таким закупкам с учетом: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61A">
        <w:rPr>
          <w:rFonts w:ascii="Times New Roman" w:hAnsi="Times New Roman" w:cs="Times New Roman"/>
          <w:sz w:val="28"/>
          <w:szCs w:val="28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исполнителю), в отношении закупок, процедуры отбора поставщика (исполнителя, подрядчика) по которым не завершены;</w:t>
      </w:r>
      <w:proofErr w:type="gramEnd"/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в) проект контракта, при заключении контракта с несколькими участниками закупки в случаях, предусмотренных </w:t>
      </w:r>
      <w:r w:rsidRPr="00C310F1">
        <w:rPr>
          <w:rFonts w:ascii="Times New Roman" w:hAnsi="Times New Roman" w:cs="Times New Roman"/>
          <w:sz w:val="28"/>
          <w:szCs w:val="28"/>
        </w:rPr>
        <w:t>частью 10 статьи 34</w:t>
      </w:r>
      <w:r w:rsidRPr="0019561A">
        <w:rPr>
          <w:rFonts w:ascii="Times New Roman" w:hAnsi="Times New Roman" w:cs="Times New Roman"/>
          <w:sz w:val="28"/>
          <w:szCs w:val="28"/>
        </w:rPr>
        <w:t xml:space="preserve"> Федерального закона, проверяется </w:t>
      </w:r>
      <w:proofErr w:type="gramStart"/>
      <w:r w:rsidRPr="0019561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>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соответствие идентификационного кода закупки - аналогичной информации, содержащейся в документации о закупке;</w:t>
      </w:r>
    </w:p>
    <w:p w:rsidR="001208F6" w:rsidRPr="0019561A" w:rsidRDefault="001208F6" w:rsidP="001759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61A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19561A">
        <w:rPr>
          <w:rFonts w:ascii="Times New Roman" w:hAnsi="Times New Roman" w:cs="Times New Roman"/>
          <w:sz w:val="28"/>
          <w:szCs w:val="28"/>
        </w:rPr>
        <w:t xml:space="preserve"> суммы цен таких контрактов над начальной (максимальной) ценой, указанной в документации о закупке.</w:t>
      </w:r>
      <w:r w:rsidR="001759BA" w:rsidRPr="00195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8F6" w:rsidRPr="0019561A" w:rsidRDefault="001759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208F6" w:rsidRPr="0019561A">
        <w:rPr>
          <w:rFonts w:ascii="Times New Roman" w:hAnsi="Times New Roman" w:cs="Times New Roman"/>
          <w:sz w:val="28"/>
          <w:szCs w:val="28"/>
        </w:rPr>
        <w:t xml:space="preserve">. В сроки, установленные </w:t>
      </w:r>
      <w:r w:rsidR="001208F6" w:rsidRPr="001759BA">
        <w:rPr>
          <w:rFonts w:ascii="Times New Roman" w:hAnsi="Times New Roman" w:cs="Times New Roman"/>
          <w:sz w:val="28"/>
          <w:szCs w:val="28"/>
        </w:rPr>
        <w:t>пунктами 14 и 15 Правил</w:t>
      </w:r>
      <w:r w:rsidR="001208F6" w:rsidRPr="0019561A">
        <w:rPr>
          <w:rFonts w:ascii="Times New Roman" w:hAnsi="Times New Roman" w:cs="Times New Roman"/>
          <w:sz w:val="28"/>
          <w:szCs w:val="28"/>
        </w:rPr>
        <w:t xml:space="preserve"> контроля, со дня направления субъекту контроля уведомления о начале контроля: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а) в случае соответствия при проведении проверки объекта контроля требованиям, установленным Правилами контроля и настоящим Порядком, объект контроля размещается в </w:t>
      </w:r>
      <w:proofErr w:type="gramStart"/>
      <w:r w:rsidRPr="0019561A">
        <w:rPr>
          <w:rFonts w:ascii="Times New Roman" w:hAnsi="Times New Roman" w:cs="Times New Roman"/>
          <w:sz w:val="28"/>
          <w:szCs w:val="28"/>
        </w:rPr>
        <w:t>ЕИС</w:t>
      </w:r>
      <w:proofErr w:type="gramEnd"/>
      <w:r w:rsidRPr="0019561A">
        <w:rPr>
          <w:rFonts w:ascii="Times New Roman" w:hAnsi="Times New Roman" w:cs="Times New Roman"/>
          <w:sz w:val="28"/>
          <w:szCs w:val="28"/>
        </w:rPr>
        <w:t xml:space="preserve"> и орган контроля направляет субъекту контроля уведомление о размещении объекта контроля в ЕИС;</w:t>
      </w:r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61A">
        <w:rPr>
          <w:rFonts w:ascii="Times New Roman" w:hAnsi="Times New Roman" w:cs="Times New Roman"/>
          <w:sz w:val="28"/>
          <w:szCs w:val="28"/>
        </w:rPr>
        <w:t xml:space="preserve">б) в случае выявления при проведении органом контроля проверки несоответствия объекта контроля требованиям, установленным Правилами контроля и настоящим Порядком, орган контроля направляет субъекту контроля в информационной системе "Электронный бюджет" протокол о несоответствии контролируемой информации требованиям, установленным </w:t>
      </w:r>
      <w:r w:rsidRPr="001759BA">
        <w:rPr>
          <w:rFonts w:ascii="Times New Roman" w:hAnsi="Times New Roman" w:cs="Times New Roman"/>
          <w:sz w:val="28"/>
          <w:szCs w:val="28"/>
        </w:rPr>
        <w:t>частью 5 статьи 99 Федерального закона, и при проверке контролируемой</w:t>
      </w:r>
      <w:r w:rsidRPr="0019561A">
        <w:rPr>
          <w:rFonts w:ascii="Times New Roman" w:hAnsi="Times New Roman" w:cs="Times New Roman"/>
          <w:sz w:val="28"/>
          <w:szCs w:val="28"/>
        </w:rPr>
        <w:t xml:space="preserve"> информации, содержащейся:</w:t>
      </w:r>
      <w:proofErr w:type="gramEnd"/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подрядчиком);</w:t>
      </w:r>
    </w:p>
    <w:p w:rsidR="001208F6" w:rsidRPr="001759B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61A">
        <w:rPr>
          <w:rFonts w:ascii="Times New Roman" w:hAnsi="Times New Roman" w:cs="Times New Roman"/>
          <w:sz w:val="28"/>
          <w:szCs w:val="28"/>
        </w:rPr>
        <w:t xml:space="preserve">в плане закупок учреждений, унитарных предприятий, до внесения </w:t>
      </w:r>
      <w:r w:rsidRPr="0019561A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если указанные изменения не внесены по истечении 30 дней со дня отрицательного результата проверки, предусмотренной </w:t>
      </w:r>
      <w:r w:rsidRPr="001759BA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1759BA" w:rsidRPr="001759BA">
        <w:rPr>
          <w:rFonts w:ascii="Times New Roman" w:hAnsi="Times New Roman" w:cs="Times New Roman"/>
          <w:sz w:val="28"/>
          <w:szCs w:val="28"/>
        </w:rPr>
        <w:t>«</w:t>
      </w:r>
      <w:r w:rsidRPr="001759BA">
        <w:rPr>
          <w:rFonts w:ascii="Times New Roman" w:hAnsi="Times New Roman" w:cs="Times New Roman"/>
          <w:sz w:val="28"/>
          <w:szCs w:val="28"/>
        </w:rPr>
        <w:t>б</w:t>
      </w:r>
      <w:r w:rsidR="001759BA" w:rsidRPr="001759BA">
        <w:rPr>
          <w:rFonts w:ascii="Times New Roman" w:hAnsi="Times New Roman" w:cs="Times New Roman"/>
          <w:sz w:val="28"/>
          <w:szCs w:val="28"/>
        </w:rPr>
        <w:t>»</w:t>
      </w:r>
      <w:r w:rsidRPr="001759BA">
        <w:rPr>
          <w:rFonts w:ascii="Times New Roman" w:hAnsi="Times New Roman" w:cs="Times New Roman"/>
          <w:sz w:val="28"/>
          <w:szCs w:val="28"/>
        </w:rPr>
        <w:t xml:space="preserve"> и </w:t>
      </w:r>
      <w:r w:rsidR="001759BA" w:rsidRPr="001759BA">
        <w:rPr>
          <w:rFonts w:ascii="Times New Roman" w:hAnsi="Times New Roman" w:cs="Times New Roman"/>
          <w:sz w:val="28"/>
          <w:szCs w:val="28"/>
        </w:rPr>
        <w:t>«</w:t>
      </w:r>
      <w:r w:rsidRPr="001759BA">
        <w:rPr>
          <w:rFonts w:ascii="Times New Roman" w:hAnsi="Times New Roman" w:cs="Times New Roman"/>
          <w:sz w:val="28"/>
          <w:szCs w:val="28"/>
        </w:rPr>
        <w:t>в</w:t>
      </w:r>
      <w:r w:rsidR="001759BA" w:rsidRPr="001759BA">
        <w:rPr>
          <w:rFonts w:ascii="Times New Roman" w:hAnsi="Times New Roman" w:cs="Times New Roman"/>
          <w:sz w:val="28"/>
          <w:szCs w:val="28"/>
        </w:rPr>
        <w:t>»</w:t>
      </w:r>
      <w:r w:rsidRPr="001759B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759BA" w:rsidRPr="001759BA">
        <w:rPr>
          <w:rFonts w:ascii="Times New Roman" w:hAnsi="Times New Roman" w:cs="Times New Roman"/>
          <w:sz w:val="28"/>
          <w:szCs w:val="28"/>
        </w:rPr>
        <w:t>6</w:t>
      </w:r>
      <w:r w:rsidRPr="001759B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proofErr w:type="gramEnd"/>
    </w:p>
    <w:p w:rsidR="001208F6" w:rsidRPr="0019561A" w:rsidRDefault="00120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61A">
        <w:rPr>
          <w:rFonts w:ascii="Times New Roman" w:hAnsi="Times New Roman" w:cs="Times New Roman"/>
          <w:sz w:val="28"/>
          <w:szCs w:val="28"/>
        </w:rPr>
        <w:t xml:space="preserve">в объектах контроля, указанных в </w:t>
      </w:r>
      <w:r w:rsidRPr="001759BA">
        <w:rPr>
          <w:rFonts w:ascii="Times New Roman" w:hAnsi="Times New Roman" w:cs="Times New Roman"/>
          <w:sz w:val="28"/>
          <w:szCs w:val="28"/>
        </w:rPr>
        <w:t>пункте 8</w:t>
      </w:r>
      <w:r w:rsidRPr="0019561A">
        <w:rPr>
          <w:rFonts w:ascii="Times New Roman" w:hAnsi="Times New Roman" w:cs="Times New Roman"/>
          <w:sz w:val="28"/>
          <w:szCs w:val="28"/>
        </w:rPr>
        <w:t xml:space="preserve"> настоящего Порядка, до внесения в них изменений не размещает такие объекты в ЕИС.</w:t>
      </w:r>
    </w:p>
    <w:p w:rsidR="001208F6" w:rsidRDefault="001208F6">
      <w:pPr>
        <w:pStyle w:val="ConsPlusNormal"/>
      </w:pPr>
    </w:p>
    <w:p w:rsidR="001208F6" w:rsidRDefault="001208F6">
      <w:pPr>
        <w:pStyle w:val="ConsPlusNormal"/>
      </w:pPr>
    </w:p>
    <w:p w:rsidR="001208F6" w:rsidRDefault="001208F6">
      <w:pPr>
        <w:pStyle w:val="ConsPlusNormal"/>
      </w:pPr>
    </w:p>
    <w:p w:rsidR="001208F6" w:rsidRDefault="001208F6">
      <w:pPr>
        <w:pStyle w:val="ConsPlusNormal"/>
      </w:pPr>
    </w:p>
    <w:p w:rsidR="001208F6" w:rsidRDefault="001208F6">
      <w:pPr>
        <w:pStyle w:val="ConsPlusNormal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1759BA" w:rsidRDefault="001759BA">
      <w:pPr>
        <w:pStyle w:val="ConsPlusNormal"/>
        <w:jc w:val="right"/>
        <w:outlineLvl w:val="1"/>
      </w:pPr>
    </w:p>
    <w:p w:rsidR="000A7B95" w:rsidRDefault="000A7B95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0A7B95" w:rsidRDefault="000A7B95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0A7B95" w:rsidRDefault="000A7B95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1208F6" w:rsidRPr="001759BA" w:rsidRDefault="001208F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1759BA">
        <w:rPr>
          <w:rFonts w:ascii="Times New Roman" w:hAnsi="Times New Roman" w:cs="Times New Roman"/>
          <w:sz w:val="20"/>
        </w:rPr>
        <w:lastRenderedPageBreak/>
        <w:t>Приложение N 1</w:t>
      </w:r>
    </w:p>
    <w:p w:rsidR="001208F6" w:rsidRPr="001759BA" w:rsidRDefault="001208F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759BA">
        <w:rPr>
          <w:rFonts w:ascii="Times New Roman" w:hAnsi="Times New Roman" w:cs="Times New Roman"/>
          <w:sz w:val="20"/>
        </w:rPr>
        <w:t>к Порядку взаимодействия</w:t>
      </w:r>
    </w:p>
    <w:p w:rsidR="001759BA" w:rsidRDefault="001759B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759BA">
        <w:rPr>
          <w:rFonts w:ascii="Times New Roman" w:hAnsi="Times New Roman" w:cs="Times New Roman"/>
          <w:sz w:val="20"/>
        </w:rPr>
        <w:t>Ф</w:t>
      </w:r>
      <w:r w:rsidR="001208F6" w:rsidRPr="001759BA">
        <w:rPr>
          <w:rFonts w:ascii="Times New Roman" w:hAnsi="Times New Roman" w:cs="Times New Roman"/>
          <w:sz w:val="20"/>
        </w:rPr>
        <w:t xml:space="preserve">инансового управления </w:t>
      </w:r>
      <w:r w:rsidRPr="001759BA">
        <w:rPr>
          <w:rFonts w:ascii="Times New Roman" w:hAnsi="Times New Roman" w:cs="Times New Roman"/>
          <w:sz w:val="20"/>
        </w:rPr>
        <w:t>а</w:t>
      </w:r>
      <w:r w:rsidR="001208F6" w:rsidRPr="001759BA">
        <w:rPr>
          <w:rFonts w:ascii="Times New Roman" w:hAnsi="Times New Roman" w:cs="Times New Roman"/>
          <w:sz w:val="20"/>
        </w:rPr>
        <w:t>дминистрации</w:t>
      </w:r>
      <w:r>
        <w:rPr>
          <w:rFonts w:ascii="Times New Roman" w:hAnsi="Times New Roman" w:cs="Times New Roman"/>
          <w:sz w:val="20"/>
        </w:rPr>
        <w:t xml:space="preserve"> </w:t>
      </w:r>
      <w:r w:rsidRPr="001759BA">
        <w:rPr>
          <w:rFonts w:ascii="Times New Roman" w:hAnsi="Times New Roman" w:cs="Times New Roman"/>
          <w:sz w:val="20"/>
        </w:rPr>
        <w:t xml:space="preserve">Шалинского </w:t>
      </w:r>
    </w:p>
    <w:p w:rsidR="001208F6" w:rsidRPr="001759BA" w:rsidRDefault="001759B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759BA">
        <w:rPr>
          <w:rFonts w:ascii="Times New Roman" w:hAnsi="Times New Roman" w:cs="Times New Roman"/>
          <w:sz w:val="20"/>
        </w:rPr>
        <w:t>городского округа</w:t>
      </w:r>
      <w:r>
        <w:rPr>
          <w:rFonts w:ascii="Times New Roman" w:hAnsi="Times New Roman" w:cs="Times New Roman"/>
          <w:sz w:val="20"/>
        </w:rPr>
        <w:t xml:space="preserve"> </w:t>
      </w:r>
      <w:r w:rsidR="001208F6" w:rsidRPr="001759BA">
        <w:rPr>
          <w:rFonts w:ascii="Times New Roman" w:hAnsi="Times New Roman" w:cs="Times New Roman"/>
          <w:sz w:val="20"/>
        </w:rPr>
        <w:t>с субъектами контроля,</w:t>
      </w:r>
    </w:p>
    <w:p w:rsidR="001208F6" w:rsidRPr="001759BA" w:rsidRDefault="001208F6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1759BA">
        <w:rPr>
          <w:rFonts w:ascii="Times New Roman" w:hAnsi="Times New Roman" w:cs="Times New Roman"/>
          <w:sz w:val="20"/>
        </w:rPr>
        <w:t>предусмотренного</w:t>
      </w:r>
      <w:proofErr w:type="gramEnd"/>
      <w:r w:rsidRPr="001759BA">
        <w:rPr>
          <w:rFonts w:ascii="Times New Roman" w:hAnsi="Times New Roman" w:cs="Times New Roman"/>
          <w:sz w:val="20"/>
        </w:rPr>
        <w:t xml:space="preserve"> частью 5 статьи 99</w:t>
      </w:r>
    </w:p>
    <w:p w:rsidR="001208F6" w:rsidRPr="001759BA" w:rsidRDefault="001208F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759BA">
        <w:rPr>
          <w:rFonts w:ascii="Times New Roman" w:hAnsi="Times New Roman" w:cs="Times New Roman"/>
          <w:sz w:val="20"/>
        </w:rPr>
        <w:t>Федерального закона</w:t>
      </w:r>
      <w:r w:rsidR="001759BA">
        <w:rPr>
          <w:rFonts w:ascii="Times New Roman" w:hAnsi="Times New Roman" w:cs="Times New Roman"/>
          <w:sz w:val="20"/>
        </w:rPr>
        <w:t xml:space="preserve"> «</w:t>
      </w:r>
      <w:r w:rsidRPr="001759BA">
        <w:rPr>
          <w:rFonts w:ascii="Times New Roman" w:hAnsi="Times New Roman" w:cs="Times New Roman"/>
          <w:sz w:val="20"/>
        </w:rPr>
        <w:t>О контрактной системе в сфере</w:t>
      </w:r>
    </w:p>
    <w:p w:rsidR="001759BA" w:rsidRDefault="001208F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759BA">
        <w:rPr>
          <w:rFonts w:ascii="Times New Roman" w:hAnsi="Times New Roman" w:cs="Times New Roman"/>
          <w:sz w:val="20"/>
        </w:rPr>
        <w:t>закупок товаров, работ, услуг</w:t>
      </w:r>
      <w:r w:rsidR="001759BA">
        <w:rPr>
          <w:rFonts w:ascii="Times New Roman" w:hAnsi="Times New Roman" w:cs="Times New Roman"/>
          <w:sz w:val="20"/>
        </w:rPr>
        <w:t xml:space="preserve"> </w:t>
      </w:r>
      <w:r w:rsidRPr="001759BA">
        <w:rPr>
          <w:rFonts w:ascii="Times New Roman" w:hAnsi="Times New Roman" w:cs="Times New Roman"/>
          <w:sz w:val="20"/>
        </w:rPr>
        <w:t xml:space="preserve">для обеспечения </w:t>
      </w:r>
    </w:p>
    <w:p w:rsidR="001208F6" w:rsidRPr="001759BA" w:rsidRDefault="001208F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759BA">
        <w:rPr>
          <w:rFonts w:ascii="Times New Roman" w:hAnsi="Times New Roman" w:cs="Times New Roman"/>
          <w:sz w:val="20"/>
        </w:rPr>
        <w:t>государственных и</w:t>
      </w:r>
      <w:r w:rsidR="001759BA">
        <w:rPr>
          <w:rFonts w:ascii="Times New Roman" w:hAnsi="Times New Roman" w:cs="Times New Roman"/>
          <w:sz w:val="20"/>
        </w:rPr>
        <w:t xml:space="preserve"> </w:t>
      </w:r>
      <w:r w:rsidRPr="001759BA">
        <w:rPr>
          <w:rFonts w:ascii="Times New Roman" w:hAnsi="Times New Roman" w:cs="Times New Roman"/>
          <w:sz w:val="20"/>
        </w:rPr>
        <w:t>муниципальных нужд</w:t>
      </w:r>
      <w:r w:rsidR="001759BA">
        <w:rPr>
          <w:rFonts w:ascii="Times New Roman" w:hAnsi="Times New Roman" w:cs="Times New Roman"/>
          <w:sz w:val="20"/>
        </w:rPr>
        <w:t>»</w:t>
      </w:r>
    </w:p>
    <w:p w:rsidR="001208F6" w:rsidRPr="001759BA" w:rsidRDefault="001208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208F6" w:rsidRPr="001759BA" w:rsidRDefault="001208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114"/>
      <w:bookmarkEnd w:id="9"/>
      <w:r w:rsidRPr="001759BA">
        <w:rPr>
          <w:rFonts w:ascii="Times New Roman" w:hAnsi="Times New Roman" w:cs="Times New Roman"/>
          <w:sz w:val="24"/>
          <w:szCs w:val="24"/>
        </w:rPr>
        <w:t>Сведения</w:t>
      </w:r>
    </w:p>
    <w:p w:rsidR="001208F6" w:rsidRPr="001759BA" w:rsidRDefault="001208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759BA">
        <w:rPr>
          <w:rFonts w:ascii="Times New Roman" w:hAnsi="Times New Roman" w:cs="Times New Roman"/>
          <w:sz w:val="24"/>
          <w:szCs w:val="24"/>
        </w:rPr>
        <w:t>об объемах средств, указанных в правовых актах</w:t>
      </w:r>
      <w:r w:rsidR="001759BA" w:rsidRPr="001759BA">
        <w:rPr>
          <w:rFonts w:ascii="Times New Roman" w:hAnsi="Times New Roman" w:cs="Times New Roman"/>
          <w:sz w:val="24"/>
          <w:szCs w:val="24"/>
        </w:rPr>
        <w:t xml:space="preserve"> </w:t>
      </w:r>
      <w:r w:rsidRPr="001759BA">
        <w:rPr>
          <w:rFonts w:ascii="Times New Roman" w:hAnsi="Times New Roman" w:cs="Times New Roman"/>
          <w:sz w:val="24"/>
          <w:szCs w:val="24"/>
        </w:rPr>
        <w:t>(проектах таких актов, размещенных в установленном порядке</w:t>
      </w:r>
      <w:r w:rsidR="001759BA" w:rsidRPr="001759BA">
        <w:rPr>
          <w:rFonts w:ascii="Times New Roman" w:hAnsi="Times New Roman" w:cs="Times New Roman"/>
          <w:sz w:val="24"/>
          <w:szCs w:val="24"/>
        </w:rPr>
        <w:t xml:space="preserve"> </w:t>
      </w:r>
      <w:r w:rsidRPr="001759BA">
        <w:rPr>
          <w:rFonts w:ascii="Times New Roman" w:hAnsi="Times New Roman" w:cs="Times New Roman"/>
          <w:sz w:val="24"/>
          <w:szCs w:val="24"/>
        </w:rPr>
        <w:t>в целях общественного обсуждения) Правительства</w:t>
      </w:r>
      <w:r w:rsidR="001759BA" w:rsidRPr="001759BA">
        <w:rPr>
          <w:rFonts w:ascii="Times New Roman" w:hAnsi="Times New Roman" w:cs="Times New Roman"/>
          <w:sz w:val="24"/>
          <w:szCs w:val="24"/>
        </w:rPr>
        <w:t xml:space="preserve"> </w:t>
      </w:r>
      <w:r w:rsidRPr="001759BA">
        <w:rPr>
          <w:rFonts w:ascii="Times New Roman" w:hAnsi="Times New Roman" w:cs="Times New Roman"/>
          <w:sz w:val="24"/>
          <w:szCs w:val="24"/>
        </w:rPr>
        <w:t>Российской Федерации, высших исполнительных органов</w:t>
      </w:r>
      <w:r w:rsidR="001759BA">
        <w:rPr>
          <w:rFonts w:ascii="Times New Roman" w:hAnsi="Times New Roman" w:cs="Times New Roman"/>
          <w:sz w:val="24"/>
          <w:szCs w:val="24"/>
        </w:rPr>
        <w:t xml:space="preserve"> </w:t>
      </w:r>
      <w:r w:rsidRPr="001759BA">
        <w:rPr>
          <w:rFonts w:ascii="Times New Roman" w:hAnsi="Times New Roman" w:cs="Times New Roman"/>
          <w:sz w:val="24"/>
          <w:szCs w:val="24"/>
        </w:rPr>
        <w:t>государственной власти субъектов Российской Федерации,</w:t>
      </w:r>
      <w:r w:rsidR="001759BA" w:rsidRPr="001759BA">
        <w:rPr>
          <w:rFonts w:ascii="Times New Roman" w:hAnsi="Times New Roman" w:cs="Times New Roman"/>
          <w:sz w:val="24"/>
          <w:szCs w:val="24"/>
        </w:rPr>
        <w:t xml:space="preserve"> </w:t>
      </w:r>
      <w:r w:rsidRPr="001759BA">
        <w:rPr>
          <w:rFonts w:ascii="Times New Roman" w:hAnsi="Times New Roman" w:cs="Times New Roman"/>
          <w:sz w:val="24"/>
          <w:szCs w:val="24"/>
        </w:rPr>
        <w:t>местных администраций и иных документах,</w:t>
      </w:r>
      <w:r w:rsidR="001759BA" w:rsidRPr="001759BA">
        <w:rPr>
          <w:rFonts w:ascii="Times New Roman" w:hAnsi="Times New Roman" w:cs="Times New Roman"/>
          <w:sz w:val="24"/>
          <w:szCs w:val="24"/>
        </w:rPr>
        <w:t xml:space="preserve"> </w:t>
      </w:r>
      <w:r w:rsidRPr="001759BA">
        <w:rPr>
          <w:rFonts w:ascii="Times New Roman" w:hAnsi="Times New Roman" w:cs="Times New Roman"/>
          <w:sz w:val="24"/>
          <w:szCs w:val="24"/>
        </w:rPr>
        <w:t>установленных Правительством Российской Федерации,</w:t>
      </w:r>
      <w:r w:rsidR="001759BA" w:rsidRPr="001759BA">
        <w:rPr>
          <w:rFonts w:ascii="Times New Roman" w:hAnsi="Times New Roman" w:cs="Times New Roman"/>
          <w:sz w:val="24"/>
          <w:szCs w:val="24"/>
        </w:rPr>
        <w:t xml:space="preserve"> </w:t>
      </w:r>
      <w:r w:rsidRPr="001759BA">
        <w:rPr>
          <w:rFonts w:ascii="Times New Roman" w:hAnsi="Times New Roman" w:cs="Times New Roman"/>
          <w:sz w:val="24"/>
          <w:szCs w:val="24"/>
        </w:rPr>
        <w:t>предусматривающих в соответствии</w:t>
      </w:r>
      <w:r w:rsidR="001759BA" w:rsidRPr="001759BA">
        <w:rPr>
          <w:rFonts w:ascii="Times New Roman" w:hAnsi="Times New Roman" w:cs="Times New Roman"/>
          <w:sz w:val="24"/>
          <w:szCs w:val="24"/>
        </w:rPr>
        <w:t xml:space="preserve"> </w:t>
      </w:r>
      <w:r w:rsidRPr="001759BA">
        <w:rPr>
          <w:rFonts w:ascii="Times New Roman" w:hAnsi="Times New Roman" w:cs="Times New Roman"/>
          <w:sz w:val="24"/>
          <w:szCs w:val="24"/>
        </w:rPr>
        <w:t>с бюджетным законодательством Российской Федерации</w:t>
      </w:r>
      <w:r w:rsidR="001759BA" w:rsidRPr="001759BA">
        <w:rPr>
          <w:rFonts w:ascii="Times New Roman" w:hAnsi="Times New Roman" w:cs="Times New Roman"/>
          <w:sz w:val="24"/>
          <w:szCs w:val="24"/>
        </w:rPr>
        <w:t xml:space="preserve"> </w:t>
      </w:r>
      <w:r w:rsidRPr="001759BA">
        <w:rPr>
          <w:rFonts w:ascii="Times New Roman" w:hAnsi="Times New Roman" w:cs="Times New Roman"/>
          <w:sz w:val="24"/>
          <w:szCs w:val="24"/>
        </w:rPr>
        <w:t>возможность заключения государственного (муниципального)</w:t>
      </w:r>
      <w:r w:rsidR="001759BA" w:rsidRPr="001759BA">
        <w:rPr>
          <w:rFonts w:ascii="Times New Roman" w:hAnsi="Times New Roman" w:cs="Times New Roman"/>
          <w:sz w:val="24"/>
          <w:szCs w:val="24"/>
        </w:rPr>
        <w:t xml:space="preserve"> </w:t>
      </w:r>
      <w:r w:rsidRPr="001759BA">
        <w:rPr>
          <w:rFonts w:ascii="Times New Roman" w:hAnsi="Times New Roman" w:cs="Times New Roman"/>
          <w:sz w:val="24"/>
          <w:szCs w:val="24"/>
        </w:rPr>
        <w:t>контракта на срок, превышающий срок действия</w:t>
      </w:r>
      <w:r w:rsidR="001759BA" w:rsidRPr="001759BA">
        <w:rPr>
          <w:rFonts w:ascii="Times New Roman" w:hAnsi="Times New Roman" w:cs="Times New Roman"/>
          <w:sz w:val="24"/>
          <w:szCs w:val="24"/>
        </w:rPr>
        <w:t xml:space="preserve"> </w:t>
      </w:r>
      <w:r w:rsidRPr="001759BA">
        <w:rPr>
          <w:rFonts w:ascii="Times New Roman" w:hAnsi="Times New Roman" w:cs="Times New Roman"/>
          <w:sz w:val="24"/>
          <w:szCs w:val="24"/>
        </w:rPr>
        <w:t>доведенных лимитов бюджетных обязательств</w:t>
      </w:r>
      <w:proofErr w:type="gramEnd"/>
      <w:r w:rsidRPr="001759BA">
        <w:rPr>
          <w:rFonts w:ascii="Times New Roman" w:hAnsi="Times New Roman" w:cs="Times New Roman"/>
          <w:sz w:val="24"/>
          <w:szCs w:val="24"/>
        </w:rPr>
        <w:t xml:space="preserve"> на 20__ год и</w:t>
      </w:r>
      <w:r w:rsidR="001759BA">
        <w:rPr>
          <w:rFonts w:ascii="Times New Roman" w:hAnsi="Times New Roman" w:cs="Times New Roman"/>
          <w:sz w:val="24"/>
          <w:szCs w:val="24"/>
        </w:rPr>
        <w:t xml:space="preserve"> </w:t>
      </w:r>
      <w:r w:rsidRPr="001759BA">
        <w:rPr>
          <w:rFonts w:ascii="Times New Roman" w:hAnsi="Times New Roman" w:cs="Times New Roman"/>
          <w:sz w:val="24"/>
          <w:szCs w:val="24"/>
        </w:rPr>
        <w:t>на плановый период 20__ и 20__ годов</w:t>
      </w:r>
    </w:p>
    <w:p w:rsidR="001208F6" w:rsidRDefault="001208F6">
      <w:pPr>
        <w:pStyle w:val="ConsPlusNormal"/>
      </w:pPr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Форма по </w:t>
      </w:r>
      <w:hyperlink r:id="rId9" w:history="1">
        <w:r>
          <w:rPr>
            <w:color w:val="0000FF"/>
          </w:rPr>
          <w:t>ОКУД</w:t>
        </w:r>
      </w:hyperlink>
      <w:r>
        <w:t>│0506134│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1208F6" w:rsidRDefault="001208F6">
      <w:pPr>
        <w:pStyle w:val="ConsPlusNonformat"/>
        <w:jc w:val="both"/>
      </w:pPr>
      <w:r>
        <w:t xml:space="preserve">                          от "__" _________ 20__ г.           </w:t>
      </w:r>
      <w:proofErr w:type="spellStart"/>
      <w:r>
        <w:t>Дата│</w:t>
      </w:r>
      <w:proofErr w:type="spellEnd"/>
      <w:r>
        <w:t xml:space="preserve">       │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по </w:t>
      </w:r>
      <w:proofErr w:type="spellStart"/>
      <w:r>
        <w:t>Сводному│</w:t>
      </w:r>
      <w:proofErr w:type="spellEnd"/>
      <w:r>
        <w:t xml:space="preserve">       │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    </w:t>
      </w:r>
      <w:proofErr w:type="spellStart"/>
      <w:r>
        <w:t>реестру│</w:t>
      </w:r>
      <w:proofErr w:type="spellEnd"/>
      <w:r>
        <w:t xml:space="preserve">       │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ИНН│       │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1208F6" w:rsidRDefault="001208F6">
      <w:pPr>
        <w:pStyle w:val="ConsPlusNonformat"/>
        <w:jc w:val="both"/>
      </w:pPr>
      <w:r>
        <w:t xml:space="preserve">Наименование                                                      │       </w:t>
      </w:r>
      <w:proofErr w:type="spellStart"/>
      <w:r>
        <w:t>│</w:t>
      </w:r>
      <w:proofErr w:type="spellEnd"/>
    </w:p>
    <w:p w:rsidR="001208F6" w:rsidRDefault="001208F6">
      <w:pPr>
        <w:pStyle w:val="ConsPlusNonformat"/>
        <w:jc w:val="both"/>
      </w:pPr>
      <w:r>
        <w:t>заказчика               _____________________________          КПП│       │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1208F6" w:rsidRDefault="001208F6">
      <w:pPr>
        <w:pStyle w:val="ConsPlusNonformat"/>
        <w:jc w:val="both"/>
      </w:pPr>
      <w:r>
        <w:t xml:space="preserve">Организационно-                                                   │       </w:t>
      </w:r>
      <w:proofErr w:type="spellStart"/>
      <w:r>
        <w:t>│</w:t>
      </w:r>
      <w:proofErr w:type="spellEnd"/>
    </w:p>
    <w:p w:rsidR="001208F6" w:rsidRDefault="001208F6">
      <w:pPr>
        <w:pStyle w:val="ConsPlusNonformat"/>
        <w:jc w:val="both"/>
      </w:pPr>
      <w:r>
        <w:t xml:space="preserve">правовая форма          _____________________________     по </w:t>
      </w:r>
      <w:hyperlink r:id="rId10" w:history="1">
        <w:r>
          <w:rPr>
            <w:color w:val="0000FF"/>
          </w:rPr>
          <w:t>ОКОПФ</w:t>
        </w:r>
      </w:hyperlink>
      <w:r>
        <w:t>│       │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1208F6" w:rsidRDefault="001208F6">
      <w:pPr>
        <w:pStyle w:val="ConsPlusNonformat"/>
        <w:jc w:val="both"/>
      </w:pPr>
      <w:r>
        <w:t xml:space="preserve">Форма собственности     _____________________________      по </w:t>
      </w:r>
      <w:hyperlink r:id="rId11" w:history="1">
        <w:r>
          <w:rPr>
            <w:color w:val="0000FF"/>
          </w:rPr>
          <w:t>ОКФС</w:t>
        </w:r>
      </w:hyperlink>
      <w:r>
        <w:t>│       │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1208F6" w:rsidRDefault="001208F6">
      <w:pPr>
        <w:pStyle w:val="ConsPlusNonformat"/>
        <w:jc w:val="both"/>
      </w:pPr>
      <w:r>
        <w:t xml:space="preserve">Наименование бюджета    _____________________________     по </w:t>
      </w:r>
      <w:hyperlink r:id="rId12" w:history="1">
        <w:r>
          <w:rPr>
            <w:color w:val="0000FF"/>
          </w:rPr>
          <w:t>ОКТМО</w:t>
        </w:r>
      </w:hyperlink>
      <w:r>
        <w:t>│       │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1208F6" w:rsidRDefault="001208F6">
      <w:pPr>
        <w:pStyle w:val="ConsPlusNonformat"/>
        <w:jc w:val="both"/>
      </w:pPr>
      <w:r>
        <w:t xml:space="preserve">Местонахождение                                           по </w:t>
      </w:r>
      <w:hyperlink r:id="rId13" w:history="1">
        <w:r>
          <w:rPr>
            <w:color w:val="0000FF"/>
          </w:rPr>
          <w:t>ОКТМО</w:t>
        </w:r>
      </w:hyperlink>
      <w:r>
        <w:t>│       │</w:t>
      </w:r>
    </w:p>
    <w:p w:rsidR="001208F6" w:rsidRDefault="001208F6">
      <w:pPr>
        <w:pStyle w:val="ConsPlusNonformat"/>
        <w:jc w:val="both"/>
      </w:pPr>
      <w:r>
        <w:t xml:space="preserve">(адрес)                 _____________________________             │       </w:t>
      </w:r>
      <w:proofErr w:type="spellStart"/>
      <w:r>
        <w:t>│</w:t>
      </w:r>
      <w:proofErr w:type="spellEnd"/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1208F6" w:rsidRDefault="001208F6">
      <w:pPr>
        <w:pStyle w:val="ConsPlusNonformat"/>
        <w:jc w:val="both"/>
      </w:pPr>
      <w:r>
        <w:t xml:space="preserve">Наименование                                                      │       </w:t>
      </w:r>
      <w:proofErr w:type="spellStart"/>
      <w:r>
        <w:t>│</w:t>
      </w:r>
      <w:proofErr w:type="spellEnd"/>
    </w:p>
    <w:p w:rsidR="001208F6" w:rsidRDefault="001208F6">
      <w:pPr>
        <w:pStyle w:val="ConsPlusNonformat"/>
        <w:jc w:val="both"/>
      </w:pPr>
      <w:r>
        <w:t xml:space="preserve">главного                                                          │       </w:t>
      </w:r>
      <w:proofErr w:type="spellStart"/>
      <w:r>
        <w:t>│</w:t>
      </w:r>
      <w:proofErr w:type="spellEnd"/>
    </w:p>
    <w:p w:rsidR="001208F6" w:rsidRDefault="001208F6">
      <w:pPr>
        <w:pStyle w:val="ConsPlusNonformat"/>
        <w:jc w:val="both"/>
      </w:pPr>
      <w:r>
        <w:t xml:space="preserve">распорядителя </w:t>
      </w:r>
      <w:proofErr w:type="gramStart"/>
      <w:r>
        <w:t>бюджетных</w:t>
      </w:r>
      <w:proofErr w:type="gramEnd"/>
      <w:r>
        <w:t xml:space="preserve">                                           │       </w:t>
      </w:r>
      <w:proofErr w:type="spellStart"/>
      <w:r>
        <w:t>│</w:t>
      </w:r>
      <w:proofErr w:type="spellEnd"/>
    </w:p>
    <w:p w:rsidR="001208F6" w:rsidRDefault="001208F6">
      <w:pPr>
        <w:pStyle w:val="ConsPlusNonformat"/>
        <w:jc w:val="both"/>
      </w:pPr>
      <w:r>
        <w:t>сре</w:t>
      </w:r>
      <w:proofErr w:type="gramStart"/>
      <w:r>
        <w:t>дств                 _____________________________  Гл</w:t>
      </w:r>
      <w:proofErr w:type="gramEnd"/>
      <w:r>
        <w:t>ава по БК│       │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1208F6" w:rsidRDefault="001208F6">
      <w:pPr>
        <w:pStyle w:val="ConsPlusNonformat"/>
        <w:jc w:val="both"/>
      </w:pPr>
      <w:r>
        <w:t xml:space="preserve">Вид документа           _____________________________             │       </w:t>
      </w:r>
      <w:proofErr w:type="spellStart"/>
      <w:r>
        <w:t>│</w:t>
      </w:r>
      <w:proofErr w:type="spellEnd"/>
    </w:p>
    <w:p w:rsidR="001208F6" w:rsidRDefault="001208F6">
      <w:pPr>
        <w:pStyle w:val="ConsPlusNonformat"/>
        <w:jc w:val="both"/>
      </w:pPr>
      <w:r>
        <w:t xml:space="preserve">                        (основной документ - код 01;              │       </w:t>
      </w:r>
      <w:proofErr w:type="spellStart"/>
      <w:r>
        <w:t>│</w:t>
      </w:r>
      <w:proofErr w:type="spellEnd"/>
    </w:p>
    <w:p w:rsidR="001208F6" w:rsidRDefault="001208F6">
      <w:pPr>
        <w:pStyle w:val="ConsPlusNonformat"/>
        <w:jc w:val="both"/>
      </w:pPr>
      <w:r>
        <w:t xml:space="preserve">                           изменения к документу -                │       </w:t>
      </w:r>
      <w:proofErr w:type="spellStart"/>
      <w:r>
        <w:t>│</w:t>
      </w:r>
      <w:proofErr w:type="spellEnd"/>
    </w:p>
    <w:p w:rsidR="001208F6" w:rsidRDefault="001208F6">
      <w:pPr>
        <w:pStyle w:val="ConsPlusNonformat"/>
        <w:jc w:val="both"/>
      </w:pPr>
      <w:r>
        <w:t xml:space="preserve">                                  код 02)                         │       </w:t>
      </w:r>
      <w:proofErr w:type="spellStart"/>
      <w:r>
        <w:t>│</w:t>
      </w:r>
      <w:proofErr w:type="spellEnd"/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1208F6" w:rsidRDefault="001208F6">
      <w:pPr>
        <w:pStyle w:val="ConsPlusNonformat"/>
        <w:jc w:val="both"/>
      </w:pPr>
      <w:r>
        <w:t xml:space="preserve">Единица измерения:                                         по ОКЕИ│  </w:t>
      </w:r>
      <w:hyperlink r:id="rId14" w:history="1">
        <w:r>
          <w:rPr>
            <w:color w:val="0000FF"/>
          </w:rPr>
          <w:t>384</w:t>
        </w:r>
      </w:hyperlink>
      <w:r>
        <w:t xml:space="preserve">  │</w:t>
      </w:r>
    </w:p>
    <w:p w:rsidR="001208F6" w:rsidRDefault="001208F6">
      <w:pPr>
        <w:pStyle w:val="ConsPlusNonformat"/>
        <w:jc w:val="both"/>
      </w:pPr>
      <w:r>
        <w:t xml:space="preserve">тыс. руб.                                                         │       </w:t>
      </w:r>
      <w:proofErr w:type="spellStart"/>
      <w:r>
        <w:t>│</w:t>
      </w:r>
      <w:proofErr w:type="spellEnd"/>
    </w:p>
    <w:p w:rsidR="001208F6" w:rsidRDefault="001208F6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1208F6" w:rsidRDefault="001208F6">
      <w:pPr>
        <w:pStyle w:val="ConsPlusNormal"/>
      </w:pPr>
    </w:p>
    <w:p w:rsidR="001208F6" w:rsidRDefault="001208F6">
      <w:pPr>
        <w:sectPr w:rsidR="001208F6" w:rsidSect="00770F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304"/>
        <w:gridCol w:w="1531"/>
        <w:gridCol w:w="1304"/>
        <w:gridCol w:w="1644"/>
        <w:gridCol w:w="1814"/>
        <w:gridCol w:w="737"/>
        <w:gridCol w:w="1531"/>
        <w:gridCol w:w="964"/>
        <w:gridCol w:w="907"/>
        <w:gridCol w:w="1304"/>
      </w:tblGrid>
      <w:tr w:rsidR="001208F6">
        <w:tc>
          <w:tcPr>
            <w:tcW w:w="510" w:type="dxa"/>
            <w:vMerge w:val="restart"/>
            <w:tcBorders>
              <w:left w:val="nil"/>
            </w:tcBorders>
          </w:tcPr>
          <w:p w:rsidR="001208F6" w:rsidRDefault="001208F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783" w:type="dxa"/>
            <w:gridSpan w:val="4"/>
          </w:tcPr>
          <w:p w:rsidR="001208F6" w:rsidRDefault="001208F6">
            <w:pPr>
              <w:pStyle w:val="ConsPlusNormal"/>
              <w:jc w:val="center"/>
            </w:pPr>
            <w:r>
              <w:t>Сведения о нормативном правовом акте (проекте нормативного правового акта)</w:t>
            </w:r>
          </w:p>
        </w:tc>
        <w:tc>
          <w:tcPr>
            <w:tcW w:w="1814" w:type="dxa"/>
            <w:vMerge w:val="restart"/>
          </w:tcPr>
          <w:p w:rsidR="001208F6" w:rsidRDefault="001208F6">
            <w:pPr>
              <w:pStyle w:val="ConsPlusNormal"/>
              <w:jc w:val="center"/>
            </w:pPr>
            <w:r>
              <w:t>Код вида расходов по бюджетной классификации</w:t>
            </w:r>
          </w:p>
        </w:tc>
        <w:tc>
          <w:tcPr>
            <w:tcW w:w="5443" w:type="dxa"/>
            <w:gridSpan w:val="5"/>
            <w:tcBorders>
              <w:right w:val="nil"/>
            </w:tcBorders>
          </w:tcPr>
          <w:p w:rsidR="001208F6" w:rsidRDefault="001208F6">
            <w:pPr>
              <w:pStyle w:val="ConsPlusNormal"/>
              <w:jc w:val="center"/>
            </w:pPr>
            <w:r>
              <w:t>Объем средств, предусмотренный нормативным правовым актом (проектом нормативного правового акта)</w:t>
            </w:r>
          </w:p>
        </w:tc>
      </w:tr>
      <w:tr w:rsidR="001208F6">
        <w:tc>
          <w:tcPr>
            <w:tcW w:w="510" w:type="dxa"/>
            <w:vMerge/>
            <w:tcBorders>
              <w:left w:val="nil"/>
            </w:tcBorders>
          </w:tcPr>
          <w:p w:rsidR="001208F6" w:rsidRDefault="001208F6"/>
        </w:tc>
        <w:tc>
          <w:tcPr>
            <w:tcW w:w="1304" w:type="dxa"/>
            <w:vMerge w:val="restart"/>
          </w:tcPr>
          <w:p w:rsidR="001208F6" w:rsidRDefault="001208F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531" w:type="dxa"/>
            <w:vMerge w:val="restart"/>
          </w:tcPr>
          <w:p w:rsidR="001208F6" w:rsidRDefault="001208F6">
            <w:pPr>
              <w:pStyle w:val="ConsPlusNormal"/>
              <w:jc w:val="center"/>
            </w:pPr>
            <w:r>
              <w:t>дата документа (дата утверждения документа)</w:t>
            </w:r>
          </w:p>
        </w:tc>
        <w:tc>
          <w:tcPr>
            <w:tcW w:w="1304" w:type="dxa"/>
            <w:vMerge w:val="restart"/>
          </w:tcPr>
          <w:p w:rsidR="001208F6" w:rsidRDefault="001208F6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1644" w:type="dxa"/>
            <w:vMerge w:val="restart"/>
          </w:tcPr>
          <w:p w:rsidR="001208F6" w:rsidRDefault="001208F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4" w:type="dxa"/>
            <w:vMerge/>
          </w:tcPr>
          <w:p w:rsidR="001208F6" w:rsidRDefault="001208F6"/>
        </w:tc>
        <w:tc>
          <w:tcPr>
            <w:tcW w:w="737" w:type="dxa"/>
            <w:vMerge w:val="restart"/>
          </w:tcPr>
          <w:p w:rsidR="001208F6" w:rsidRDefault="001208F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31" w:type="dxa"/>
            <w:vMerge w:val="restart"/>
          </w:tcPr>
          <w:p w:rsidR="001208F6" w:rsidRDefault="001208F6">
            <w:pPr>
              <w:pStyle w:val="ConsPlusNormal"/>
              <w:jc w:val="center"/>
            </w:pPr>
            <w:r>
              <w:t>на очередной (текущий) финансовый год</w:t>
            </w:r>
          </w:p>
        </w:tc>
        <w:tc>
          <w:tcPr>
            <w:tcW w:w="1871" w:type="dxa"/>
            <w:gridSpan w:val="2"/>
          </w:tcPr>
          <w:p w:rsidR="001208F6" w:rsidRDefault="001208F6">
            <w:pPr>
              <w:pStyle w:val="ConsPlusNormal"/>
              <w:jc w:val="center"/>
            </w:pPr>
            <w:r>
              <w:t>планового периода</w:t>
            </w:r>
          </w:p>
        </w:tc>
        <w:tc>
          <w:tcPr>
            <w:tcW w:w="1304" w:type="dxa"/>
            <w:vMerge w:val="restart"/>
            <w:tcBorders>
              <w:right w:val="nil"/>
            </w:tcBorders>
          </w:tcPr>
          <w:p w:rsidR="001208F6" w:rsidRDefault="001208F6">
            <w:pPr>
              <w:pStyle w:val="ConsPlusNormal"/>
              <w:jc w:val="center"/>
            </w:pPr>
            <w:r>
              <w:t>на последующие годы</w:t>
            </w:r>
          </w:p>
        </w:tc>
      </w:tr>
      <w:tr w:rsidR="001208F6">
        <w:tc>
          <w:tcPr>
            <w:tcW w:w="510" w:type="dxa"/>
            <w:vMerge/>
            <w:tcBorders>
              <w:left w:val="nil"/>
            </w:tcBorders>
          </w:tcPr>
          <w:p w:rsidR="001208F6" w:rsidRDefault="001208F6"/>
        </w:tc>
        <w:tc>
          <w:tcPr>
            <w:tcW w:w="1304" w:type="dxa"/>
            <w:vMerge/>
          </w:tcPr>
          <w:p w:rsidR="001208F6" w:rsidRDefault="001208F6"/>
        </w:tc>
        <w:tc>
          <w:tcPr>
            <w:tcW w:w="1531" w:type="dxa"/>
            <w:vMerge/>
          </w:tcPr>
          <w:p w:rsidR="001208F6" w:rsidRDefault="001208F6"/>
        </w:tc>
        <w:tc>
          <w:tcPr>
            <w:tcW w:w="1304" w:type="dxa"/>
            <w:vMerge/>
          </w:tcPr>
          <w:p w:rsidR="001208F6" w:rsidRDefault="001208F6"/>
        </w:tc>
        <w:tc>
          <w:tcPr>
            <w:tcW w:w="1644" w:type="dxa"/>
            <w:vMerge/>
          </w:tcPr>
          <w:p w:rsidR="001208F6" w:rsidRDefault="001208F6"/>
        </w:tc>
        <w:tc>
          <w:tcPr>
            <w:tcW w:w="1814" w:type="dxa"/>
            <w:vMerge/>
          </w:tcPr>
          <w:p w:rsidR="001208F6" w:rsidRDefault="001208F6"/>
        </w:tc>
        <w:tc>
          <w:tcPr>
            <w:tcW w:w="737" w:type="dxa"/>
            <w:vMerge/>
          </w:tcPr>
          <w:p w:rsidR="001208F6" w:rsidRDefault="001208F6"/>
        </w:tc>
        <w:tc>
          <w:tcPr>
            <w:tcW w:w="1531" w:type="dxa"/>
            <w:vMerge/>
          </w:tcPr>
          <w:p w:rsidR="001208F6" w:rsidRDefault="001208F6"/>
        </w:tc>
        <w:tc>
          <w:tcPr>
            <w:tcW w:w="964" w:type="dxa"/>
          </w:tcPr>
          <w:p w:rsidR="001208F6" w:rsidRDefault="001208F6">
            <w:pPr>
              <w:pStyle w:val="ConsPlusNormal"/>
              <w:jc w:val="center"/>
            </w:pPr>
            <w:r>
              <w:t>на первый год</w:t>
            </w:r>
          </w:p>
        </w:tc>
        <w:tc>
          <w:tcPr>
            <w:tcW w:w="907" w:type="dxa"/>
          </w:tcPr>
          <w:p w:rsidR="001208F6" w:rsidRDefault="001208F6">
            <w:pPr>
              <w:pStyle w:val="ConsPlusNormal"/>
              <w:jc w:val="center"/>
            </w:pPr>
            <w:r>
              <w:t>на второй год</w:t>
            </w:r>
          </w:p>
        </w:tc>
        <w:tc>
          <w:tcPr>
            <w:tcW w:w="1304" w:type="dxa"/>
            <w:vMerge/>
            <w:tcBorders>
              <w:right w:val="nil"/>
            </w:tcBorders>
          </w:tcPr>
          <w:p w:rsidR="001208F6" w:rsidRDefault="001208F6"/>
        </w:tc>
      </w:tr>
      <w:tr w:rsidR="001208F6">
        <w:tc>
          <w:tcPr>
            <w:tcW w:w="510" w:type="dxa"/>
            <w:tcBorders>
              <w:left w:val="nil"/>
            </w:tcBorders>
          </w:tcPr>
          <w:p w:rsidR="001208F6" w:rsidRDefault="001208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208F6" w:rsidRDefault="001208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1208F6" w:rsidRDefault="001208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208F6" w:rsidRDefault="001208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1208F6" w:rsidRDefault="001208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1208F6" w:rsidRDefault="001208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1208F6" w:rsidRDefault="001208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1208F6" w:rsidRDefault="001208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1208F6" w:rsidRDefault="001208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1208F6" w:rsidRDefault="001208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tcBorders>
              <w:right w:val="nil"/>
            </w:tcBorders>
          </w:tcPr>
          <w:p w:rsidR="001208F6" w:rsidRDefault="001208F6">
            <w:pPr>
              <w:pStyle w:val="ConsPlusNormal"/>
              <w:jc w:val="center"/>
            </w:pPr>
            <w:r>
              <w:t>11</w:t>
            </w:r>
          </w:p>
        </w:tc>
      </w:tr>
      <w:tr w:rsidR="001208F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Merge w:val="restart"/>
          </w:tcPr>
          <w:p w:rsidR="001208F6" w:rsidRDefault="001208F6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1208F6" w:rsidRDefault="001208F6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1208F6" w:rsidRDefault="001208F6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1208F6" w:rsidRDefault="001208F6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1208F6" w:rsidRDefault="001208F6">
            <w:pPr>
              <w:pStyle w:val="ConsPlusNormal"/>
            </w:pPr>
          </w:p>
        </w:tc>
        <w:tc>
          <w:tcPr>
            <w:tcW w:w="1814" w:type="dxa"/>
          </w:tcPr>
          <w:p w:rsidR="001208F6" w:rsidRDefault="001208F6">
            <w:pPr>
              <w:pStyle w:val="ConsPlusNormal"/>
            </w:pPr>
          </w:p>
        </w:tc>
        <w:tc>
          <w:tcPr>
            <w:tcW w:w="737" w:type="dxa"/>
          </w:tcPr>
          <w:p w:rsidR="001208F6" w:rsidRDefault="001208F6">
            <w:pPr>
              <w:pStyle w:val="ConsPlusNormal"/>
            </w:pPr>
          </w:p>
        </w:tc>
        <w:tc>
          <w:tcPr>
            <w:tcW w:w="1531" w:type="dxa"/>
          </w:tcPr>
          <w:p w:rsidR="001208F6" w:rsidRDefault="001208F6">
            <w:pPr>
              <w:pStyle w:val="ConsPlusNormal"/>
            </w:pPr>
          </w:p>
        </w:tc>
        <w:tc>
          <w:tcPr>
            <w:tcW w:w="964" w:type="dxa"/>
          </w:tcPr>
          <w:p w:rsidR="001208F6" w:rsidRDefault="001208F6">
            <w:pPr>
              <w:pStyle w:val="ConsPlusNormal"/>
            </w:pPr>
          </w:p>
        </w:tc>
        <w:tc>
          <w:tcPr>
            <w:tcW w:w="907" w:type="dxa"/>
          </w:tcPr>
          <w:p w:rsidR="001208F6" w:rsidRDefault="001208F6">
            <w:pPr>
              <w:pStyle w:val="ConsPlusNormal"/>
            </w:pPr>
          </w:p>
        </w:tc>
        <w:tc>
          <w:tcPr>
            <w:tcW w:w="1304" w:type="dxa"/>
          </w:tcPr>
          <w:p w:rsidR="001208F6" w:rsidRDefault="001208F6">
            <w:pPr>
              <w:pStyle w:val="ConsPlusNormal"/>
            </w:pPr>
          </w:p>
        </w:tc>
      </w:tr>
      <w:tr w:rsidR="001208F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Merge/>
          </w:tcPr>
          <w:p w:rsidR="001208F6" w:rsidRDefault="001208F6"/>
        </w:tc>
        <w:tc>
          <w:tcPr>
            <w:tcW w:w="1304" w:type="dxa"/>
            <w:vMerge/>
          </w:tcPr>
          <w:p w:rsidR="001208F6" w:rsidRDefault="001208F6"/>
        </w:tc>
        <w:tc>
          <w:tcPr>
            <w:tcW w:w="1531" w:type="dxa"/>
            <w:vMerge/>
          </w:tcPr>
          <w:p w:rsidR="001208F6" w:rsidRDefault="001208F6"/>
        </w:tc>
        <w:tc>
          <w:tcPr>
            <w:tcW w:w="1304" w:type="dxa"/>
            <w:vMerge/>
          </w:tcPr>
          <w:p w:rsidR="001208F6" w:rsidRDefault="001208F6"/>
        </w:tc>
        <w:tc>
          <w:tcPr>
            <w:tcW w:w="1644" w:type="dxa"/>
            <w:vMerge/>
          </w:tcPr>
          <w:p w:rsidR="001208F6" w:rsidRDefault="001208F6"/>
        </w:tc>
        <w:tc>
          <w:tcPr>
            <w:tcW w:w="1814" w:type="dxa"/>
          </w:tcPr>
          <w:p w:rsidR="001208F6" w:rsidRDefault="001208F6">
            <w:pPr>
              <w:pStyle w:val="ConsPlusNormal"/>
            </w:pPr>
          </w:p>
        </w:tc>
        <w:tc>
          <w:tcPr>
            <w:tcW w:w="737" w:type="dxa"/>
          </w:tcPr>
          <w:p w:rsidR="001208F6" w:rsidRDefault="001208F6">
            <w:pPr>
              <w:pStyle w:val="ConsPlusNormal"/>
            </w:pPr>
          </w:p>
        </w:tc>
        <w:tc>
          <w:tcPr>
            <w:tcW w:w="1531" w:type="dxa"/>
          </w:tcPr>
          <w:p w:rsidR="001208F6" w:rsidRDefault="001208F6">
            <w:pPr>
              <w:pStyle w:val="ConsPlusNormal"/>
            </w:pPr>
          </w:p>
        </w:tc>
        <w:tc>
          <w:tcPr>
            <w:tcW w:w="964" w:type="dxa"/>
          </w:tcPr>
          <w:p w:rsidR="001208F6" w:rsidRDefault="001208F6">
            <w:pPr>
              <w:pStyle w:val="ConsPlusNormal"/>
            </w:pPr>
          </w:p>
        </w:tc>
        <w:tc>
          <w:tcPr>
            <w:tcW w:w="907" w:type="dxa"/>
          </w:tcPr>
          <w:p w:rsidR="001208F6" w:rsidRDefault="001208F6">
            <w:pPr>
              <w:pStyle w:val="ConsPlusNormal"/>
            </w:pPr>
          </w:p>
        </w:tc>
        <w:tc>
          <w:tcPr>
            <w:tcW w:w="1304" w:type="dxa"/>
          </w:tcPr>
          <w:p w:rsidR="001208F6" w:rsidRDefault="001208F6">
            <w:pPr>
              <w:pStyle w:val="ConsPlusNormal"/>
            </w:pPr>
          </w:p>
        </w:tc>
      </w:tr>
      <w:tr w:rsidR="001208F6">
        <w:tblPrEx>
          <w:tblBorders>
            <w:right w:val="single" w:sz="4" w:space="0" w:color="auto"/>
          </w:tblBorders>
        </w:tblPrEx>
        <w:tc>
          <w:tcPr>
            <w:tcW w:w="6293" w:type="dxa"/>
            <w:gridSpan w:val="5"/>
            <w:tcBorders>
              <w:left w:val="nil"/>
              <w:bottom w:val="nil"/>
            </w:tcBorders>
          </w:tcPr>
          <w:p w:rsidR="001208F6" w:rsidRDefault="001208F6">
            <w:pPr>
              <w:pStyle w:val="ConsPlusNormal"/>
              <w:jc w:val="right"/>
            </w:pPr>
            <w:r>
              <w:t>Итого по КВР</w:t>
            </w:r>
          </w:p>
        </w:tc>
        <w:tc>
          <w:tcPr>
            <w:tcW w:w="1814" w:type="dxa"/>
          </w:tcPr>
          <w:p w:rsidR="001208F6" w:rsidRDefault="001208F6">
            <w:pPr>
              <w:pStyle w:val="ConsPlusNormal"/>
            </w:pPr>
          </w:p>
        </w:tc>
        <w:tc>
          <w:tcPr>
            <w:tcW w:w="737" w:type="dxa"/>
          </w:tcPr>
          <w:p w:rsidR="001208F6" w:rsidRDefault="001208F6">
            <w:pPr>
              <w:pStyle w:val="ConsPlusNormal"/>
            </w:pPr>
          </w:p>
        </w:tc>
        <w:tc>
          <w:tcPr>
            <w:tcW w:w="1531" w:type="dxa"/>
          </w:tcPr>
          <w:p w:rsidR="001208F6" w:rsidRDefault="001208F6">
            <w:pPr>
              <w:pStyle w:val="ConsPlusNormal"/>
            </w:pPr>
          </w:p>
        </w:tc>
        <w:tc>
          <w:tcPr>
            <w:tcW w:w="964" w:type="dxa"/>
          </w:tcPr>
          <w:p w:rsidR="001208F6" w:rsidRDefault="001208F6">
            <w:pPr>
              <w:pStyle w:val="ConsPlusNormal"/>
            </w:pPr>
          </w:p>
        </w:tc>
        <w:tc>
          <w:tcPr>
            <w:tcW w:w="907" w:type="dxa"/>
          </w:tcPr>
          <w:p w:rsidR="001208F6" w:rsidRDefault="001208F6">
            <w:pPr>
              <w:pStyle w:val="ConsPlusNormal"/>
            </w:pPr>
          </w:p>
        </w:tc>
        <w:tc>
          <w:tcPr>
            <w:tcW w:w="1304" w:type="dxa"/>
          </w:tcPr>
          <w:p w:rsidR="001208F6" w:rsidRDefault="001208F6">
            <w:pPr>
              <w:pStyle w:val="ConsPlusNormal"/>
            </w:pPr>
          </w:p>
        </w:tc>
      </w:tr>
      <w:tr w:rsidR="001208F6">
        <w:tblPrEx>
          <w:tblBorders>
            <w:right w:val="single" w:sz="4" w:space="0" w:color="auto"/>
          </w:tblBorders>
        </w:tblPrEx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08F6" w:rsidRDefault="001208F6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</w:tcBorders>
          </w:tcPr>
          <w:p w:rsidR="001208F6" w:rsidRDefault="001208F6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737" w:type="dxa"/>
          </w:tcPr>
          <w:p w:rsidR="001208F6" w:rsidRDefault="001208F6">
            <w:pPr>
              <w:pStyle w:val="ConsPlusNormal"/>
            </w:pPr>
          </w:p>
        </w:tc>
        <w:tc>
          <w:tcPr>
            <w:tcW w:w="1531" w:type="dxa"/>
          </w:tcPr>
          <w:p w:rsidR="001208F6" w:rsidRDefault="001208F6">
            <w:pPr>
              <w:pStyle w:val="ConsPlusNormal"/>
            </w:pPr>
          </w:p>
        </w:tc>
        <w:tc>
          <w:tcPr>
            <w:tcW w:w="964" w:type="dxa"/>
          </w:tcPr>
          <w:p w:rsidR="001208F6" w:rsidRDefault="001208F6">
            <w:pPr>
              <w:pStyle w:val="ConsPlusNormal"/>
            </w:pPr>
          </w:p>
        </w:tc>
        <w:tc>
          <w:tcPr>
            <w:tcW w:w="907" w:type="dxa"/>
          </w:tcPr>
          <w:p w:rsidR="001208F6" w:rsidRDefault="001208F6">
            <w:pPr>
              <w:pStyle w:val="ConsPlusNormal"/>
            </w:pPr>
          </w:p>
        </w:tc>
        <w:tc>
          <w:tcPr>
            <w:tcW w:w="1304" w:type="dxa"/>
          </w:tcPr>
          <w:p w:rsidR="001208F6" w:rsidRDefault="001208F6">
            <w:pPr>
              <w:pStyle w:val="ConsPlusNormal"/>
            </w:pPr>
          </w:p>
        </w:tc>
      </w:tr>
    </w:tbl>
    <w:p w:rsidR="001208F6" w:rsidRDefault="001208F6">
      <w:pPr>
        <w:pStyle w:val="ConsPlusNormal"/>
      </w:pPr>
    </w:p>
    <w:p w:rsidR="001208F6" w:rsidRDefault="001208F6">
      <w:pPr>
        <w:pStyle w:val="ConsPlusNonformat"/>
        <w:jc w:val="both"/>
      </w:pPr>
      <w:r>
        <w:t>Руководитель</w:t>
      </w:r>
    </w:p>
    <w:p w:rsidR="001208F6" w:rsidRDefault="001208F6">
      <w:pPr>
        <w:pStyle w:val="ConsPlusNonformat"/>
        <w:jc w:val="both"/>
      </w:pPr>
      <w:r>
        <w:t>(уполномоченное лицо) _________________ ___________ _______________________</w:t>
      </w:r>
    </w:p>
    <w:p w:rsidR="001208F6" w:rsidRDefault="001208F6">
      <w:pPr>
        <w:pStyle w:val="ConsPlusNonformat"/>
        <w:jc w:val="both"/>
      </w:pPr>
      <w:r>
        <w:t xml:space="preserve">                         (должность)     (подпись)   (расшифровка подписи)</w:t>
      </w:r>
    </w:p>
    <w:p w:rsidR="001208F6" w:rsidRDefault="001208F6">
      <w:pPr>
        <w:pStyle w:val="ConsPlusNonformat"/>
        <w:jc w:val="both"/>
      </w:pPr>
    </w:p>
    <w:p w:rsidR="001208F6" w:rsidRDefault="001208F6">
      <w:pPr>
        <w:pStyle w:val="ConsPlusNonformat"/>
        <w:jc w:val="both"/>
      </w:pPr>
      <w:r>
        <w:t>"__" __________ 20__ г.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┌──────────────┬────┐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│    Лист N    │    </w:t>
      </w:r>
      <w:proofErr w:type="spellStart"/>
      <w:r>
        <w:t>│</w:t>
      </w:r>
      <w:proofErr w:type="spellEnd"/>
    </w:p>
    <w:p w:rsidR="001208F6" w:rsidRDefault="001208F6">
      <w:pPr>
        <w:pStyle w:val="ConsPlusNonformat"/>
        <w:jc w:val="both"/>
      </w:pPr>
      <w:r>
        <w:t xml:space="preserve">                                                      ├──────────────┼────┤</w:t>
      </w:r>
    </w:p>
    <w:p w:rsidR="001208F6" w:rsidRDefault="001208F6">
      <w:pPr>
        <w:pStyle w:val="ConsPlusNonformat"/>
        <w:jc w:val="both"/>
      </w:pPr>
      <w:r>
        <w:t xml:space="preserve">                                                      │ Всего листов │    </w:t>
      </w:r>
      <w:proofErr w:type="spellStart"/>
      <w:r>
        <w:t>│</w:t>
      </w:r>
      <w:proofErr w:type="spellEnd"/>
    </w:p>
    <w:p w:rsidR="001208F6" w:rsidRDefault="001208F6">
      <w:pPr>
        <w:pStyle w:val="ConsPlusNonformat"/>
        <w:jc w:val="both"/>
      </w:pPr>
      <w:r>
        <w:t xml:space="preserve">                                                      └──────────────┴────┘</w:t>
      </w:r>
    </w:p>
    <w:p w:rsidR="001208F6" w:rsidRDefault="001208F6">
      <w:pPr>
        <w:pStyle w:val="ConsPlusNormal"/>
      </w:pPr>
    </w:p>
    <w:p w:rsidR="001208F6" w:rsidRDefault="001208F6">
      <w:pPr>
        <w:pStyle w:val="ConsPlusNormal"/>
      </w:pPr>
    </w:p>
    <w:p w:rsidR="001208F6" w:rsidRDefault="001208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E61" w:rsidRDefault="000A7B95"/>
    <w:sectPr w:rsidR="00230E61" w:rsidSect="00301C0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73483"/>
    <w:multiLevelType w:val="hybridMultilevel"/>
    <w:tmpl w:val="92B6D5F4"/>
    <w:lvl w:ilvl="0" w:tplc="1DE88CD6">
      <w:start w:val="1"/>
      <w:numFmt w:val="decimal"/>
      <w:lvlText w:val="%1."/>
      <w:lvlJc w:val="left"/>
      <w:pPr>
        <w:ind w:left="103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208F6"/>
    <w:rsid w:val="000676FC"/>
    <w:rsid w:val="000A7B95"/>
    <w:rsid w:val="001208F6"/>
    <w:rsid w:val="001759BA"/>
    <w:rsid w:val="0019561A"/>
    <w:rsid w:val="002026A9"/>
    <w:rsid w:val="00773A15"/>
    <w:rsid w:val="00844B14"/>
    <w:rsid w:val="00A0295A"/>
    <w:rsid w:val="00A36395"/>
    <w:rsid w:val="00C310F1"/>
    <w:rsid w:val="00E3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08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0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08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nformat">
    <w:name w:val="ConsNonformat"/>
    <w:rsid w:val="001208F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208F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208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9EE7A3EC1DDD0601B6C56AB07BBFD4A6026A97125EE9AD3F10AC01A255DECFD7B9E3EC175ABEF1a8x4D" TargetMode="External"/><Relationship Id="rId13" Type="http://schemas.openxmlformats.org/officeDocument/2006/relationships/hyperlink" Target="consultantplus://offline/ref=499EE7A3EC1DDD0601B6C56AB07BBFD4A60E6A97135CE9AD3F10AC01A2a5x5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99EE7A3EC1DDD0601B6C56AB07BBFD4A6026A97125EE9AD3F10AC01A255DECFD7B9E3EC175ABEF0a8x4D" TargetMode="External"/><Relationship Id="rId12" Type="http://schemas.openxmlformats.org/officeDocument/2006/relationships/hyperlink" Target="consultantplus://offline/ref=499EE7A3EC1DDD0601B6C56AB07BBFD4A60E6A97135CE9AD3F10AC01A2a5x5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99EE7A3EC1DDD0601B6C56AB07BBFD4A60863931358E9AD3F10AC01A255DECFD7B9E3EC175ABEF2a8x8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99EE7A3EC1DDD0601B6C56AB07BBFD4A60C6393165AE9AD3F10AC01A2a5x5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9EE7A3EC1DDD0601B6C56AB07BBFD4A50B6F971659E9AD3F10AC01A2a5x5D" TargetMode="External"/><Relationship Id="rId14" Type="http://schemas.openxmlformats.org/officeDocument/2006/relationships/hyperlink" Target="consultantplus://offline/ref=499EE7A3EC1DDD0601B6C56AB07BBFD4A50B6D951559E9AD3F10AC01A255DECFD7B9E3EC175ABCFAa8x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712E6-468A-4F1A-A83E-3262705B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3212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FU53</Company>
  <LinksUpToDate>false</LinksUpToDate>
  <CharactersWithSpaces>21482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</dc:creator>
  <cp:lastModifiedBy>mva</cp:lastModifiedBy>
  <cp:revision>4</cp:revision>
  <dcterms:created xsi:type="dcterms:W3CDTF">2017-01-31T04:36:00Z</dcterms:created>
  <dcterms:modified xsi:type="dcterms:W3CDTF">2017-02-08T10:04:00Z</dcterms:modified>
</cp:coreProperties>
</file>